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45E42">
      <w:pPr>
        <w:pStyle w:val="2"/>
        <w:pageBreakBefore/>
        <w:numPr>
          <w:ilvl w:val="0"/>
          <w:numId w:val="1"/>
        </w:numPr>
        <w:spacing w:before="240" w:beforeLines="100" w:after="240" w:afterLines="100" w:line="500" w:lineRule="exact"/>
        <w:jc w:val="center"/>
        <w:rPr>
          <w:rFonts w:hint="eastAsia"/>
          <w:lang w:eastAsia="zh-CN"/>
        </w:rPr>
      </w:pPr>
      <w:bookmarkStart w:id="0" w:name="_Toc12021"/>
      <w:r>
        <w:rPr>
          <w:rFonts w:eastAsia="黑体"/>
          <w:kern w:val="2"/>
          <w:szCs w:val="32"/>
        </w:rPr>
        <w:t>评标办法</w:t>
      </w:r>
    </w:p>
    <w:bookmarkEnd w:id="0"/>
    <w:p w14:paraId="267F8F91">
      <w:pPr>
        <w:pStyle w:val="2"/>
        <w:spacing w:before="240" w:beforeLines="100" w:after="240" w:afterLines="100" w:line="500" w:lineRule="exact"/>
        <w:jc w:val="center"/>
        <w:rPr>
          <w:rFonts w:eastAsia="黑体"/>
          <w:bCs w:val="0"/>
        </w:rPr>
      </w:pPr>
      <w:r>
        <w:rPr>
          <w:rFonts w:eastAsia="黑体"/>
          <w:b w:val="0"/>
        </w:rPr>
        <w:t>综合评估法（有效价格）</w:t>
      </w:r>
    </w:p>
    <w:p w14:paraId="4CE7C8F6">
      <w:pPr>
        <w:keepNext/>
        <w:keepLines/>
        <w:spacing w:before="120" w:beforeLines="50" w:after="120" w:afterLines="50" w:line="500" w:lineRule="exact"/>
        <w:jc w:val="center"/>
        <w:outlineLvl w:val="1"/>
        <w:rPr>
          <w:rFonts w:eastAsia="黑体"/>
          <w:sz w:val="28"/>
          <w:szCs w:val="20"/>
        </w:rPr>
      </w:pPr>
      <w:bookmarkStart w:id="1" w:name="_Toc2621"/>
      <w:bookmarkStart w:id="2" w:name="_Toc29260"/>
      <w:bookmarkStart w:id="3" w:name="_Toc3300"/>
      <w:bookmarkStart w:id="4" w:name="_Toc2596"/>
      <w:bookmarkStart w:id="5" w:name="_Toc23184"/>
      <w:r>
        <w:rPr>
          <w:rFonts w:eastAsia="黑体"/>
          <w:sz w:val="28"/>
          <w:szCs w:val="20"/>
        </w:rPr>
        <w:t>评标办法前附表</w:t>
      </w:r>
      <w:bookmarkEnd w:id="1"/>
      <w:bookmarkEnd w:id="2"/>
      <w:bookmarkEnd w:id="3"/>
      <w:bookmarkEnd w:id="4"/>
      <w:bookmarkEnd w:id="5"/>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14:paraId="3D46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14:paraId="15F18B4C">
            <w:pPr>
              <w:widowControl/>
              <w:spacing w:line="500" w:lineRule="exact"/>
              <w:jc w:val="center"/>
              <w:rPr>
                <w:kern w:val="0"/>
                <w:szCs w:val="21"/>
              </w:rPr>
            </w:pPr>
            <w:r>
              <w:rPr>
                <w:b/>
                <w:bCs/>
                <w:kern w:val="0"/>
                <w:szCs w:val="21"/>
              </w:rPr>
              <w:t>条款号</w:t>
            </w:r>
          </w:p>
        </w:tc>
        <w:tc>
          <w:tcPr>
            <w:tcW w:w="1525" w:type="dxa"/>
            <w:noWrap w:val="0"/>
            <w:vAlign w:val="center"/>
          </w:tcPr>
          <w:p w14:paraId="209FF532">
            <w:pPr>
              <w:snapToGrid w:val="0"/>
              <w:spacing w:line="500" w:lineRule="exact"/>
              <w:jc w:val="center"/>
              <w:rPr>
                <w:b/>
                <w:kern w:val="0"/>
                <w:szCs w:val="21"/>
              </w:rPr>
            </w:pPr>
            <w:r>
              <w:rPr>
                <w:b/>
                <w:kern w:val="0"/>
                <w:szCs w:val="21"/>
              </w:rPr>
              <w:t>条款内容</w:t>
            </w:r>
          </w:p>
        </w:tc>
        <w:tc>
          <w:tcPr>
            <w:tcW w:w="6085" w:type="dxa"/>
            <w:noWrap w:val="0"/>
            <w:vAlign w:val="center"/>
          </w:tcPr>
          <w:p w14:paraId="12063E8D">
            <w:pPr>
              <w:widowControl/>
              <w:snapToGrid w:val="0"/>
              <w:spacing w:line="500" w:lineRule="exact"/>
              <w:jc w:val="center"/>
              <w:rPr>
                <w:b/>
                <w:kern w:val="0"/>
                <w:szCs w:val="21"/>
              </w:rPr>
            </w:pPr>
            <w:r>
              <w:rPr>
                <w:b/>
                <w:kern w:val="0"/>
                <w:szCs w:val="21"/>
              </w:rPr>
              <w:t>编列内容</w:t>
            </w:r>
          </w:p>
        </w:tc>
      </w:tr>
      <w:tr w14:paraId="6977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14:paraId="5741731B">
            <w:pPr>
              <w:widowControl/>
              <w:spacing w:line="500" w:lineRule="exact"/>
              <w:jc w:val="center"/>
              <w:rPr>
                <w:bCs/>
                <w:kern w:val="0"/>
                <w:szCs w:val="21"/>
              </w:rPr>
            </w:pPr>
            <w:r>
              <w:rPr>
                <w:bCs/>
                <w:kern w:val="0"/>
                <w:szCs w:val="21"/>
              </w:rPr>
              <w:t>1</w:t>
            </w:r>
          </w:p>
        </w:tc>
        <w:tc>
          <w:tcPr>
            <w:tcW w:w="890" w:type="dxa"/>
            <w:vMerge w:val="restart"/>
            <w:noWrap w:val="0"/>
            <w:vAlign w:val="center"/>
          </w:tcPr>
          <w:p w14:paraId="1D56DA40">
            <w:pPr>
              <w:widowControl/>
              <w:spacing w:line="500" w:lineRule="exact"/>
              <w:jc w:val="center"/>
              <w:rPr>
                <w:bCs/>
                <w:kern w:val="0"/>
                <w:szCs w:val="21"/>
              </w:rPr>
            </w:pPr>
            <w:r>
              <w:rPr>
                <w:bCs/>
                <w:kern w:val="0"/>
                <w:szCs w:val="21"/>
              </w:rPr>
              <w:t>评标办法</w:t>
            </w:r>
          </w:p>
        </w:tc>
        <w:tc>
          <w:tcPr>
            <w:tcW w:w="1525" w:type="dxa"/>
            <w:noWrap w:val="0"/>
            <w:tcMar>
              <w:left w:w="75" w:type="dxa"/>
            </w:tcMar>
            <w:vAlign w:val="center"/>
          </w:tcPr>
          <w:p w14:paraId="3E7F4288">
            <w:pPr>
              <w:widowControl/>
              <w:adjustRightInd w:val="0"/>
              <w:snapToGrid w:val="0"/>
              <w:spacing w:line="500" w:lineRule="exact"/>
              <w:jc w:val="center"/>
              <w:rPr>
                <w:kern w:val="0"/>
                <w:szCs w:val="21"/>
              </w:rPr>
            </w:pPr>
            <w:r>
              <w:rPr>
                <w:kern w:val="0"/>
                <w:szCs w:val="21"/>
              </w:rPr>
              <w:t>中标候选人排序方法</w:t>
            </w:r>
          </w:p>
        </w:tc>
        <w:tc>
          <w:tcPr>
            <w:tcW w:w="6085" w:type="dxa"/>
            <w:noWrap w:val="0"/>
            <w:tcMar>
              <w:left w:w="75" w:type="dxa"/>
            </w:tcMar>
            <w:vAlign w:val="center"/>
          </w:tcPr>
          <w:p w14:paraId="0A3252AC">
            <w:pPr>
              <w:widowControl/>
              <w:adjustRightInd w:val="0"/>
              <w:snapToGrid w:val="0"/>
              <w:spacing w:line="500" w:lineRule="exact"/>
              <w:jc w:val="left"/>
              <w:rPr>
                <w:kern w:val="0"/>
                <w:szCs w:val="21"/>
              </w:rPr>
            </w:pPr>
            <w:r>
              <w:t>评标委员会对满足招标文件实质性要求的投标文件，按照本章第2.2款规定的评分标准进行打分，并按得分由高到低顺序推荐中标候选人。综合评分相等时，以投标报价低的优先；投标报价也相等的，以技术得分高的优先；如果技术得分也相等，由评标委员会根据投标文件投票，按少数服从多数的原则确定中标候选人顺序</w:t>
            </w:r>
            <w:r>
              <w:rPr>
                <w:kern w:val="0"/>
                <w:szCs w:val="21"/>
              </w:rPr>
              <w:t>。</w:t>
            </w:r>
          </w:p>
        </w:tc>
      </w:tr>
      <w:tr w14:paraId="7622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692C41BB">
            <w:pPr>
              <w:widowControl/>
              <w:spacing w:line="500" w:lineRule="exact"/>
              <w:jc w:val="center"/>
              <w:rPr>
                <w:bCs/>
                <w:kern w:val="0"/>
                <w:szCs w:val="21"/>
              </w:rPr>
            </w:pPr>
          </w:p>
        </w:tc>
        <w:tc>
          <w:tcPr>
            <w:tcW w:w="890" w:type="dxa"/>
            <w:vMerge w:val="continue"/>
            <w:noWrap w:val="0"/>
            <w:vAlign w:val="center"/>
          </w:tcPr>
          <w:p w14:paraId="127E55FA">
            <w:pPr>
              <w:widowControl/>
              <w:spacing w:line="500" w:lineRule="exact"/>
              <w:jc w:val="center"/>
              <w:rPr>
                <w:bCs/>
                <w:kern w:val="0"/>
                <w:szCs w:val="21"/>
              </w:rPr>
            </w:pPr>
          </w:p>
        </w:tc>
        <w:tc>
          <w:tcPr>
            <w:tcW w:w="1525" w:type="dxa"/>
            <w:noWrap w:val="0"/>
            <w:tcMar>
              <w:left w:w="75" w:type="dxa"/>
            </w:tcMar>
            <w:vAlign w:val="center"/>
          </w:tcPr>
          <w:p w14:paraId="51EF4949">
            <w:pPr>
              <w:widowControl/>
              <w:adjustRightInd w:val="0"/>
              <w:snapToGrid w:val="0"/>
              <w:spacing w:line="500" w:lineRule="exact"/>
              <w:jc w:val="center"/>
              <w:rPr>
                <w:kern w:val="0"/>
                <w:szCs w:val="21"/>
              </w:rPr>
            </w:pPr>
            <w:r>
              <w:rPr>
                <w:kern w:val="0"/>
                <w:szCs w:val="21"/>
              </w:rPr>
              <w:t>评标的先后顺序</w:t>
            </w:r>
          </w:p>
        </w:tc>
        <w:tc>
          <w:tcPr>
            <w:tcW w:w="6085" w:type="dxa"/>
            <w:noWrap w:val="0"/>
            <w:tcMar>
              <w:left w:w="75" w:type="dxa"/>
            </w:tcMar>
            <w:vAlign w:val="center"/>
          </w:tcPr>
          <w:p w14:paraId="24CF58DD">
            <w:pPr>
              <w:widowControl/>
              <w:adjustRightInd w:val="0"/>
              <w:snapToGrid w:val="0"/>
              <w:spacing w:line="500" w:lineRule="exact"/>
              <w:jc w:val="left"/>
              <w:rPr>
                <w:color w:val="FF0000"/>
                <w:kern w:val="0"/>
                <w:szCs w:val="21"/>
              </w:rPr>
            </w:pPr>
            <w:r>
              <w:rPr>
                <w:bCs/>
                <w:i/>
                <w:iCs/>
                <w:snapToGrid w:val="0"/>
                <w:color w:val="auto"/>
                <w:kern w:val="0"/>
              </w:rPr>
              <w:t>仅适用于多标段项目</w:t>
            </w:r>
          </w:p>
        </w:tc>
      </w:tr>
      <w:tr w14:paraId="18B2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3E0B6911">
            <w:pPr>
              <w:widowControl/>
              <w:spacing w:line="500" w:lineRule="exact"/>
              <w:jc w:val="center"/>
              <w:rPr>
                <w:bCs/>
                <w:color w:val="FF0000"/>
                <w:kern w:val="0"/>
                <w:szCs w:val="21"/>
              </w:rPr>
            </w:pPr>
          </w:p>
        </w:tc>
        <w:tc>
          <w:tcPr>
            <w:tcW w:w="890" w:type="dxa"/>
            <w:vMerge w:val="continue"/>
            <w:noWrap w:val="0"/>
            <w:vAlign w:val="center"/>
          </w:tcPr>
          <w:p w14:paraId="4D178020">
            <w:pPr>
              <w:widowControl/>
              <w:spacing w:line="500" w:lineRule="exact"/>
              <w:jc w:val="center"/>
              <w:rPr>
                <w:bCs/>
                <w:kern w:val="0"/>
                <w:szCs w:val="21"/>
              </w:rPr>
            </w:pPr>
          </w:p>
        </w:tc>
        <w:tc>
          <w:tcPr>
            <w:tcW w:w="1525" w:type="dxa"/>
            <w:noWrap w:val="0"/>
            <w:tcMar>
              <w:left w:w="75" w:type="dxa"/>
            </w:tcMar>
            <w:vAlign w:val="center"/>
          </w:tcPr>
          <w:p w14:paraId="608AB8C0">
            <w:pPr>
              <w:widowControl/>
              <w:spacing w:line="500" w:lineRule="exact"/>
              <w:jc w:val="center"/>
              <w:rPr>
                <w:kern w:val="0"/>
                <w:szCs w:val="21"/>
              </w:rPr>
            </w:pPr>
            <w:r>
              <w:rPr>
                <w:kern w:val="0"/>
                <w:szCs w:val="21"/>
              </w:rPr>
              <w:t>最多可中标段数量</w:t>
            </w:r>
          </w:p>
        </w:tc>
        <w:tc>
          <w:tcPr>
            <w:tcW w:w="6085" w:type="dxa"/>
            <w:noWrap w:val="0"/>
            <w:tcMar>
              <w:left w:w="75" w:type="dxa"/>
            </w:tcMar>
            <w:vAlign w:val="center"/>
          </w:tcPr>
          <w:p w14:paraId="57F3019F">
            <w:pPr>
              <w:widowControl/>
              <w:spacing w:line="500" w:lineRule="exact"/>
              <w:jc w:val="left"/>
              <w:rPr>
                <w:color w:val="FF0000"/>
                <w:kern w:val="0"/>
                <w:szCs w:val="21"/>
              </w:rPr>
            </w:pPr>
            <w:r>
              <w:rPr>
                <w:bCs/>
                <w:i/>
                <w:iCs/>
                <w:snapToGrid w:val="0"/>
                <w:color w:val="auto"/>
                <w:kern w:val="0"/>
              </w:rPr>
              <w:t>仅适用于多标段项目</w:t>
            </w:r>
          </w:p>
        </w:tc>
      </w:tr>
      <w:tr w14:paraId="7030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14:paraId="58089178">
            <w:pPr>
              <w:snapToGrid w:val="0"/>
              <w:spacing w:line="500" w:lineRule="exact"/>
              <w:jc w:val="center"/>
              <w:rPr>
                <w:bCs/>
                <w:kern w:val="0"/>
                <w:szCs w:val="21"/>
              </w:rPr>
            </w:pPr>
            <w:r>
              <w:rPr>
                <w:bCs/>
                <w:kern w:val="0"/>
                <w:szCs w:val="21"/>
              </w:rPr>
              <w:t>2.2.1</w:t>
            </w:r>
          </w:p>
        </w:tc>
        <w:tc>
          <w:tcPr>
            <w:tcW w:w="890" w:type="dxa"/>
            <w:noWrap w:val="0"/>
            <w:vAlign w:val="center"/>
          </w:tcPr>
          <w:p w14:paraId="4E8CE92B">
            <w:pPr>
              <w:snapToGrid w:val="0"/>
              <w:spacing w:line="500" w:lineRule="exact"/>
              <w:jc w:val="center"/>
              <w:rPr>
                <w:bCs/>
                <w:kern w:val="0"/>
                <w:szCs w:val="21"/>
              </w:rPr>
            </w:pPr>
            <w:r>
              <w:rPr>
                <w:bCs/>
                <w:kern w:val="0"/>
                <w:szCs w:val="21"/>
              </w:rPr>
              <w:t>分值构成</w:t>
            </w:r>
          </w:p>
        </w:tc>
        <w:tc>
          <w:tcPr>
            <w:tcW w:w="1525" w:type="dxa"/>
            <w:noWrap w:val="0"/>
            <w:tcMar>
              <w:left w:w="75" w:type="dxa"/>
            </w:tcMar>
            <w:vAlign w:val="center"/>
          </w:tcPr>
          <w:p w14:paraId="0FCB41CC">
            <w:pPr>
              <w:snapToGrid w:val="0"/>
              <w:spacing w:line="500" w:lineRule="exact"/>
              <w:jc w:val="center"/>
            </w:pPr>
            <w:r>
              <w:t>分值构成</w:t>
            </w:r>
          </w:p>
          <w:p w14:paraId="73855E97">
            <w:pPr>
              <w:snapToGrid w:val="0"/>
              <w:spacing w:line="500" w:lineRule="exact"/>
              <w:jc w:val="center"/>
              <w:rPr>
                <w:bCs/>
                <w:kern w:val="0"/>
                <w:szCs w:val="21"/>
              </w:rPr>
            </w:pPr>
            <w:r>
              <w:t>（总分</w:t>
            </w:r>
            <w:r>
              <w:rPr>
                <w:rFonts w:hint="eastAsia"/>
                <w:u w:val="single"/>
                <w:lang w:val="en-US" w:eastAsia="zh-CN"/>
              </w:rPr>
              <w:t>100</w:t>
            </w:r>
            <w:r>
              <w:t>分）</w:t>
            </w:r>
          </w:p>
        </w:tc>
        <w:tc>
          <w:tcPr>
            <w:tcW w:w="6085" w:type="dxa"/>
            <w:noWrap w:val="0"/>
            <w:tcMar>
              <w:left w:w="75" w:type="dxa"/>
            </w:tcMar>
            <w:vAlign w:val="center"/>
          </w:tcPr>
          <w:p w14:paraId="543C14EA">
            <w:pPr>
              <w:widowControl/>
              <w:snapToGrid w:val="0"/>
              <w:spacing w:line="500" w:lineRule="exact"/>
              <w:jc w:val="left"/>
              <w:rPr>
                <w:kern w:val="0"/>
                <w:szCs w:val="21"/>
              </w:rPr>
            </w:pPr>
            <w:r>
              <w:rPr>
                <w:kern w:val="0"/>
                <w:szCs w:val="21"/>
              </w:rPr>
              <w:t>（1）商务部分：</w:t>
            </w:r>
            <w:r>
              <w:rPr>
                <w:rFonts w:hint="eastAsia"/>
                <w:kern w:val="0"/>
                <w:szCs w:val="21"/>
                <w:u w:val="single"/>
                <w:lang w:val="en-US" w:eastAsia="zh-CN"/>
              </w:rPr>
              <w:t>32</w:t>
            </w:r>
            <w:r>
              <w:rPr>
                <w:kern w:val="0"/>
                <w:szCs w:val="21"/>
              </w:rPr>
              <w:t>分</w:t>
            </w:r>
          </w:p>
          <w:p w14:paraId="308BB229">
            <w:pPr>
              <w:widowControl/>
              <w:snapToGrid w:val="0"/>
              <w:spacing w:line="500" w:lineRule="exact"/>
              <w:jc w:val="left"/>
              <w:rPr>
                <w:kern w:val="0"/>
                <w:szCs w:val="21"/>
              </w:rPr>
            </w:pPr>
            <w:r>
              <w:rPr>
                <w:kern w:val="0"/>
                <w:szCs w:val="21"/>
              </w:rPr>
              <w:t>（2）技术部分：</w:t>
            </w:r>
            <w:r>
              <w:rPr>
                <w:rFonts w:hint="eastAsia"/>
                <w:kern w:val="0"/>
                <w:szCs w:val="21"/>
                <w:u w:val="single"/>
                <w:lang w:val="en-US" w:eastAsia="zh-CN"/>
              </w:rPr>
              <w:t>48</w:t>
            </w:r>
            <w:r>
              <w:rPr>
                <w:kern w:val="0"/>
                <w:szCs w:val="21"/>
              </w:rPr>
              <w:t>分</w:t>
            </w:r>
          </w:p>
          <w:p w14:paraId="66B6EB9D">
            <w:pPr>
              <w:widowControl/>
              <w:snapToGrid w:val="0"/>
              <w:spacing w:line="500" w:lineRule="exact"/>
              <w:jc w:val="left"/>
              <w:rPr>
                <w:kern w:val="0"/>
                <w:szCs w:val="21"/>
              </w:rPr>
            </w:pPr>
            <w:r>
              <w:rPr>
                <w:kern w:val="0"/>
                <w:szCs w:val="21"/>
              </w:rPr>
              <w:t>（3）报价部分：</w:t>
            </w:r>
            <w:r>
              <w:rPr>
                <w:rFonts w:hint="eastAsia"/>
                <w:kern w:val="0"/>
                <w:szCs w:val="21"/>
                <w:u w:val="single"/>
                <w:lang w:val="en-US" w:eastAsia="zh-CN"/>
              </w:rPr>
              <w:t>20</w:t>
            </w:r>
            <w:r>
              <w:rPr>
                <w:kern w:val="0"/>
                <w:szCs w:val="21"/>
              </w:rPr>
              <w:t>分</w:t>
            </w:r>
          </w:p>
        </w:tc>
      </w:tr>
      <w:tr w14:paraId="7419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14:paraId="2C93409D">
            <w:pPr>
              <w:snapToGrid w:val="0"/>
              <w:spacing w:line="500" w:lineRule="exact"/>
              <w:jc w:val="center"/>
              <w:rPr>
                <w:bCs/>
                <w:kern w:val="0"/>
                <w:szCs w:val="21"/>
              </w:rPr>
            </w:pPr>
            <w:r>
              <w:rPr>
                <w:bCs/>
                <w:kern w:val="0"/>
                <w:szCs w:val="21"/>
              </w:rPr>
              <w:t>2.2.2</w:t>
            </w:r>
          </w:p>
        </w:tc>
        <w:tc>
          <w:tcPr>
            <w:tcW w:w="890" w:type="dxa"/>
            <w:vMerge w:val="restart"/>
            <w:noWrap w:val="0"/>
            <w:vAlign w:val="center"/>
          </w:tcPr>
          <w:p w14:paraId="00B6A067">
            <w:pPr>
              <w:snapToGrid w:val="0"/>
              <w:spacing w:line="500" w:lineRule="exact"/>
              <w:jc w:val="center"/>
              <w:rPr>
                <w:bCs/>
                <w:kern w:val="0"/>
                <w:szCs w:val="21"/>
              </w:rPr>
            </w:pPr>
            <w:r>
              <w:t>评标基准价计算</w:t>
            </w:r>
          </w:p>
        </w:tc>
        <w:tc>
          <w:tcPr>
            <w:tcW w:w="1525" w:type="dxa"/>
            <w:noWrap w:val="0"/>
            <w:tcMar>
              <w:left w:w="75" w:type="dxa"/>
            </w:tcMar>
            <w:vAlign w:val="center"/>
          </w:tcPr>
          <w:p w14:paraId="153E9646">
            <w:pPr>
              <w:snapToGrid w:val="0"/>
              <w:spacing w:line="500" w:lineRule="exact"/>
              <w:jc w:val="center"/>
            </w:pPr>
            <w:r>
              <w:t>价格分评标基准价计算</w:t>
            </w:r>
          </w:p>
        </w:tc>
        <w:tc>
          <w:tcPr>
            <w:tcW w:w="6085" w:type="dxa"/>
            <w:noWrap w:val="0"/>
            <w:tcMar>
              <w:left w:w="75" w:type="dxa"/>
            </w:tcMar>
            <w:vAlign w:val="center"/>
          </w:tcPr>
          <w:p w14:paraId="02EC9CFC">
            <w:pPr>
              <w:widowControl/>
              <w:spacing w:line="500" w:lineRule="exact"/>
              <w:ind w:firstLine="420" w:firstLineChars="200"/>
              <w:jc w:val="left"/>
              <w:rPr>
                <w:color w:val="000000"/>
              </w:rPr>
            </w:pPr>
            <w:r>
              <w:rPr>
                <w:color w:val="000000"/>
              </w:rPr>
              <w:t>评标价=投标函文字报价</w:t>
            </w:r>
          </w:p>
          <w:p w14:paraId="1BA4C8A1">
            <w:pPr>
              <w:spacing w:line="500" w:lineRule="exact"/>
              <w:ind w:firstLine="420" w:firstLineChars="200"/>
              <w:rPr>
                <w:color w:val="000000"/>
                <w:szCs w:val="22"/>
              </w:rPr>
            </w:pPr>
            <w:r>
              <w:rPr>
                <w:color w:val="000000"/>
                <w:szCs w:val="22"/>
              </w:rPr>
              <w:t>评标基准价计算：通过商务及技术文件、报价文件初步评审的投标人最低评标价作为评标基准价</w:t>
            </w:r>
          </w:p>
          <w:p w14:paraId="6C66729C">
            <w:pPr>
              <w:widowControl/>
              <w:snapToGrid w:val="0"/>
              <w:spacing w:line="500" w:lineRule="exact"/>
              <w:jc w:val="left"/>
              <w:rPr>
                <w:kern w:val="0"/>
                <w:szCs w:val="21"/>
              </w:rPr>
            </w:pPr>
            <w:r>
              <w:rPr>
                <w:color w:val="000000"/>
                <w:szCs w:val="22"/>
              </w:rPr>
              <w:t>在评标过程中，评标委员会应对评标基准价进行复核，存在计算错误的应予以修正并在评标报告中作出说明。除此之外，评标基准价在整个评标期间保持不变，不随任何因素发生变化</w:t>
            </w:r>
          </w:p>
        </w:tc>
      </w:tr>
      <w:tr w14:paraId="6F4A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41141337">
            <w:pPr>
              <w:snapToGrid w:val="0"/>
              <w:spacing w:line="500" w:lineRule="exact"/>
              <w:jc w:val="center"/>
              <w:rPr>
                <w:bCs/>
                <w:kern w:val="0"/>
                <w:szCs w:val="21"/>
              </w:rPr>
            </w:pPr>
          </w:p>
        </w:tc>
        <w:tc>
          <w:tcPr>
            <w:tcW w:w="890" w:type="dxa"/>
            <w:vMerge w:val="continue"/>
            <w:noWrap w:val="0"/>
            <w:vAlign w:val="center"/>
          </w:tcPr>
          <w:p w14:paraId="10A70FD9">
            <w:pPr>
              <w:snapToGrid w:val="0"/>
              <w:spacing w:line="500" w:lineRule="exact"/>
              <w:jc w:val="center"/>
            </w:pPr>
          </w:p>
        </w:tc>
        <w:tc>
          <w:tcPr>
            <w:tcW w:w="1525" w:type="dxa"/>
            <w:noWrap w:val="0"/>
            <w:tcMar>
              <w:left w:w="75" w:type="dxa"/>
            </w:tcMar>
            <w:vAlign w:val="center"/>
          </w:tcPr>
          <w:p w14:paraId="49E7BE19">
            <w:pPr>
              <w:snapToGrid w:val="0"/>
              <w:spacing w:line="500" w:lineRule="exact"/>
              <w:jc w:val="center"/>
            </w:pPr>
            <w:r>
              <w:t>报价合理性得分评标基准价计算</w:t>
            </w:r>
          </w:p>
        </w:tc>
        <w:tc>
          <w:tcPr>
            <w:tcW w:w="6085" w:type="dxa"/>
            <w:noWrap w:val="0"/>
            <w:tcMar>
              <w:left w:w="75" w:type="dxa"/>
            </w:tcMar>
            <w:vAlign w:val="center"/>
          </w:tcPr>
          <w:p w14:paraId="23CFD78D">
            <w:pPr>
              <w:widowControl/>
              <w:snapToGrid w:val="0"/>
              <w:spacing w:line="500" w:lineRule="exact"/>
              <w:jc w:val="left"/>
              <w:rPr>
                <w:color w:val="000000"/>
                <w:szCs w:val="22"/>
              </w:rPr>
            </w:pPr>
            <w:r>
              <w:rPr>
                <w:color w:val="000000"/>
                <w:szCs w:val="22"/>
              </w:rPr>
              <w:t>（1）确定评标价平均值</w:t>
            </w:r>
          </w:p>
          <w:p w14:paraId="1B3E0396">
            <w:pPr>
              <w:widowControl/>
              <w:snapToGrid w:val="0"/>
              <w:spacing w:line="500" w:lineRule="exact"/>
              <w:jc w:val="left"/>
              <w:rPr>
                <w:color w:val="000000"/>
                <w:szCs w:val="22"/>
              </w:rPr>
            </w:pPr>
            <w:r>
              <w:rPr>
                <w:color w:val="000000"/>
                <w:szCs w:val="22"/>
              </w:rPr>
              <w:t>当有效投标人数量不少于5家时，则去掉一个最高价和一个最低价，取其他投标函文字报价进行算术平均得出平均值；当有效投标人数量不足5家时，则直接取全部投标函文字报价进行算术平均得出平均值。</w:t>
            </w:r>
          </w:p>
          <w:p w14:paraId="6007A61E">
            <w:pPr>
              <w:widowControl/>
              <w:snapToGrid w:val="0"/>
              <w:spacing w:line="500" w:lineRule="exact"/>
              <w:jc w:val="left"/>
              <w:rPr>
                <w:color w:val="000000"/>
                <w:szCs w:val="22"/>
              </w:rPr>
            </w:pPr>
            <w:r>
              <w:rPr>
                <w:color w:val="000000"/>
                <w:szCs w:val="22"/>
              </w:rPr>
              <w:t>（2）确定评标基准价</w:t>
            </w:r>
          </w:p>
          <w:p w14:paraId="013EB199">
            <w:pPr>
              <w:widowControl/>
              <w:snapToGrid w:val="0"/>
              <w:spacing w:line="500" w:lineRule="exact"/>
              <w:jc w:val="left"/>
              <w:rPr>
                <w:color w:val="000000"/>
                <w:szCs w:val="22"/>
              </w:rPr>
            </w:pPr>
            <w:r>
              <w:rPr>
                <w:color w:val="000000"/>
                <w:szCs w:val="22"/>
              </w:rPr>
              <w:t>评标基准价=评标价平均值</w:t>
            </w:r>
          </w:p>
          <w:p w14:paraId="4496D024">
            <w:pPr>
              <w:widowControl/>
              <w:snapToGrid w:val="0"/>
              <w:spacing w:line="500" w:lineRule="exact"/>
              <w:jc w:val="left"/>
              <w:rPr>
                <w:color w:val="000000"/>
                <w:szCs w:val="22"/>
              </w:rPr>
            </w:pPr>
            <w:r>
              <w:rPr>
                <w:color w:val="000000"/>
                <w:szCs w:val="22"/>
              </w:rPr>
              <w:t>在评标过程中，评标委员会应对评标基准价进行复核，存在计算错误的应予以修正并在评标报告中作出说明。除此之外，评标基准价在整个评标期间保持不变，不随任何因素发生变化</w:t>
            </w:r>
          </w:p>
        </w:tc>
      </w:tr>
    </w:tbl>
    <w:p w14:paraId="6EDE83F6">
      <w:pPr>
        <w:keepNext/>
        <w:keepLines/>
        <w:spacing w:line="500" w:lineRule="exact"/>
        <w:jc w:val="center"/>
        <w:rPr>
          <w:rFonts w:eastAsia="黑体"/>
          <w:bCs/>
          <w:sz w:val="24"/>
        </w:rPr>
      </w:pPr>
    </w:p>
    <w:p w14:paraId="1DD699B3">
      <w:pPr>
        <w:keepNext/>
        <w:keepLines/>
        <w:spacing w:after="120" w:afterLines="50" w:line="500" w:lineRule="exact"/>
        <w:jc w:val="center"/>
        <w:outlineLvl w:val="2"/>
        <w:rPr>
          <w:rFonts w:eastAsia="黑体"/>
          <w:bCs/>
          <w:sz w:val="28"/>
          <w:szCs w:val="28"/>
        </w:rPr>
      </w:pPr>
      <w:r>
        <w:rPr>
          <w:rFonts w:eastAsia="黑体"/>
          <w:bCs/>
          <w:sz w:val="28"/>
          <w:szCs w:val="28"/>
        </w:rPr>
        <w:t>商务及技术文件初步评审标准</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648"/>
        <w:gridCol w:w="5962"/>
      </w:tblGrid>
      <w:tr w14:paraId="0C80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14:paraId="743D2C36">
            <w:pPr>
              <w:widowControl/>
              <w:spacing w:line="500" w:lineRule="exact"/>
              <w:jc w:val="center"/>
              <w:rPr>
                <w:kern w:val="0"/>
                <w:szCs w:val="21"/>
              </w:rPr>
            </w:pPr>
            <w:r>
              <w:rPr>
                <w:b/>
                <w:bCs/>
                <w:kern w:val="0"/>
                <w:szCs w:val="21"/>
              </w:rPr>
              <w:t>条款号</w:t>
            </w:r>
          </w:p>
        </w:tc>
        <w:tc>
          <w:tcPr>
            <w:tcW w:w="1648" w:type="dxa"/>
            <w:noWrap w:val="0"/>
            <w:vAlign w:val="center"/>
          </w:tcPr>
          <w:p w14:paraId="2149925D">
            <w:pPr>
              <w:widowControl/>
              <w:spacing w:line="500" w:lineRule="exact"/>
              <w:ind w:firstLine="105" w:firstLineChars="50"/>
              <w:jc w:val="center"/>
              <w:rPr>
                <w:kern w:val="0"/>
                <w:szCs w:val="21"/>
              </w:rPr>
            </w:pPr>
            <w:r>
              <w:rPr>
                <w:b/>
                <w:bCs/>
                <w:kern w:val="0"/>
                <w:szCs w:val="21"/>
              </w:rPr>
              <w:t>评审因素</w:t>
            </w:r>
          </w:p>
        </w:tc>
        <w:tc>
          <w:tcPr>
            <w:tcW w:w="5962" w:type="dxa"/>
            <w:noWrap w:val="0"/>
            <w:vAlign w:val="center"/>
          </w:tcPr>
          <w:p w14:paraId="5B77C50A">
            <w:pPr>
              <w:widowControl/>
              <w:spacing w:line="500" w:lineRule="exact"/>
              <w:ind w:firstLine="105" w:firstLineChars="50"/>
              <w:jc w:val="center"/>
              <w:rPr>
                <w:kern w:val="0"/>
                <w:szCs w:val="21"/>
              </w:rPr>
            </w:pPr>
            <w:r>
              <w:rPr>
                <w:b/>
                <w:bCs/>
                <w:kern w:val="0"/>
                <w:szCs w:val="21"/>
              </w:rPr>
              <w:t>评审标准</w:t>
            </w:r>
          </w:p>
        </w:tc>
      </w:tr>
      <w:tr w14:paraId="4746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14:paraId="4C713C2B">
            <w:pPr>
              <w:widowControl/>
              <w:spacing w:line="500" w:lineRule="exact"/>
              <w:jc w:val="center"/>
              <w:rPr>
                <w:bCs/>
                <w:kern w:val="0"/>
                <w:szCs w:val="21"/>
              </w:rPr>
            </w:pPr>
            <w:r>
              <w:rPr>
                <w:bCs/>
                <w:kern w:val="0"/>
                <w:szCs w:val="21"/>
              </w:rPr>
              <w:t>2.1.1</w:t>
            </w:r>
          </w:p>
        </w:tc>
        <w:tc>
          <w:tcPr>
            <w:tcW w:w="890" w:type="dxa"/>
            <w:vMerge w:val="restart"/>
            <w:noWrap w:val="0"/>
            <w:vAlign w:val="center"/>
          </w:tcPr>
          <w:p w14:paraId="6BABA852">
            <w:pPr>
              <w:widowControl/>
              <w:spacing w:line="500" w:lineRule="exact"/>
              <w:jc w:val="center"/>
              <w:rPr>
                <w:bCs/>
                <w:kern w:val="0"/>
                <w:szCs w:val="21"/>
              </w:rPr>
            </w:pPr>
            <w:r>
              <w:rPr>
                <w:bCs/>
                <w:kern w:val="0"/>
                <w:szCs w:val="21"/>
              </w:rPr>
              <w:t>形式评审标准</w:t>
            </w:r>
          </w:p>
        </w:tc>
        <w:tc>
          <w:tcPr>
            <w:tcW w:w="1648" w:type="dxa"/>
            <w:noWrap w:val="0"/>
            <w:tcMar>
              <w:left w:w="75" w:type="dxa"/>
            </w:tcMar>
            <w:vAlign w:val="center"/>
          </w:tcPr>
          <w:p w14:paraId="16F2B9E3">
            <w:pPr>
              <w:spacing w:line="500" w:lineRule="exact"/>
              <w:jc w:val="center"/>
              <w:rPr>
                <w:color w:val="000000"/>
              </w:rPr>
            </w:pPr>
            <w:r>
              <w:rPr>
                <w:color w:val="000000"/>
              </w:rPr>
              <w:t>投标人名称</w:t>
            </w:r>
          </w:p>
        </w:tc>
        <w:tc>
          <w:tcPr>
            <w:tcW w:w="5962" w:type="dxa"/>
            <w:noWrap w:val="0"/>
            <w:tcMar>
              <w:left w:w="75" w:type="dxa"/>
            </w:tcMar>
            <w:vAlign w:val="center"/>
          </w:tcPr>
          <w:p w14:paraId="362B165B">
            <w:pPr>
              <w:spacing w:line="500" w:lineRule="exact"/>
              <w:rPr>
                <w:rFonts w:hint="eastAsia"/>
                <w:color w:val="000000"/>
              </w:rPr>
            </w:pPr>
            <w:r>
              <w:rPr>
                <w:color w:val="000000"/>
              </w:rPr>
              <w:t>与营业执照（事业单位法人证书）、资质证书一致</w:t>
            </w:r>
            <w:r>
              <w:rPr>
                <w:rFonts w:hint="eastAsia"/>
                <w:color w:val="000000"/>
              </w:rPr>
              <w:t>。</w:t>
            </w:r>
          </w:p>
          <w:p w14:paraId="57F367C4">
            <w:pPr>
              <w:spacing w:line="500" w:lineRule="exact"/>
              <w:rPr>
                <w:color w:val="000000"/>
              </w:rPr>
            </w:pPr>
            <w:r>
              <w:rPr>
                <w:color w:val="000000"/>
              </w:rPr>
              <w:t>名称变更的，应当提供证书颁发等单位提供的变更说明</w:t>
            </w:r>
          </w:p>
        </w:tc>
      </w:tr>
      <w:tr w14:paraId="0F97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095944FE">
            <w:pPr>
              <w:widowControl/>
              <w:spacing w:line="500" w:lineRule="exact"/>
              <w:jc w:val="center"/>
              <w:rPr>
                <w:bCs/>
                <w:kern w:val="0"/>
                <w:szCs w:val="21"/>
              </w:rPr>
            </w:pPr>
          </w:p>
        </w:tc>
        <w:tc>
          <w:tcPr>
            <w:tcW w:w="890" w:type="dxa"/>
            <w:vMerge w:val="continue"/>
            <w:noWrap w:val="0"/>
            <w:vAlign w:val="center"/>
          </w:tcPr>
          <w:p w14:paraId="038DA6E3">
            <w:pPr>
              <w:widowControl/>
              <w:spacing w:line="500" w:lineRule="exact"/>
              <w:jc w:val="center"/>
              <w:rPr>
                <w:bCs/>
                <w:kern w:val="0"/>
                <w:szCs w:val="21"/>
              </w:rPr>
            </w:pPr>
          </w:p>
        </w:tc>
        <w:tc>
          <w:tcPr>
            <w:tcW w:w="1648" w:type="dxa"/>
            <w:noWrap w:val="0"/>
            <w:tcMar>
              <w:left w:w="75" w:type="dxa"/>
            </w:tcMar>
            <w:vAlign w:val="center"/>
          </w:tcPr>
          <w:p w14:paraId="0F44FE1B">
            <w:pPr>
              <w:spacing w:line="500" w:lineRule="exact"/>
              <w:jc w:val="center"/>
              <w:rPr>
                <w:color w:val="000000"/>
              </w:rPr>
            </w:pPr>
            <w:r>
              <w:rPr>
                <w:kern w:val="0"/>
                <w:szCs w:val="21"/>
              </w:rPr>
              <w:t>签字盖章</w:t>
            </w:r>
          </w:p>
        </w:tc>
        <w:tc>
          <w:tcPr>
            <w:tcW w:w="5962" w:type="dxa"/>
            <w:noWrap w:val="0"/>
            <w:tcMar>
              <w:left w:w="75" w:type="dxa"/>
            </w:tcMar>
            <w:vAlign w:val="center"/>
          </w:tcPr>
          <w:p w14:paraId="461BD683">
            <w:pPr>
              <w:spacing w:line="500" w:lineRule="exact"/>
              <w:rPr>
                <w:color w:val="000000"/>
              </w:rPr>
            </w:pPr>
            <w:r>
              <w:rPr>
                <w:kern w:val="0"/>
                <w:szCs w:val="21"/>
              </w:rPr>
              <w:t>符合第二章“投标人须知”第3.7.3项规定</w:t>
            </w:r>
          </w:p>
        </w:tc>
      </w:tr>
      <w:tr w14:paraId="7506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70E157CF">
            <w:pPr>
              <w:widowControl/>
              <w:spacing w:line="500" w:lineRule="exact"/>
              <w:jc w:val="center"/>
              <w:rPr>
                <w:bCs/>
                <w:kern w:val="0"/>
                <w:szCs w:val="21"/>
              </w:rPr>
            </w:pPr>
          </w:p>
        </w:tc>
        <w:tc>
          <w:tcPr>
            <w:tcW w:w="890" w:type="dxa"/>
            <w:vMerge w:val="continue"/>
            <w:noWrap w:val="0"/>
            <w:vAlign w:val="center"/>
          </w:tcPr>
          <w:p w14:paraId="1F4D5071">
            <w:pPr>
              <w:widowControl/>
              <w:spacing w:line="500" w:lineRule="exact"/>
              <w:jc w:val="center"/>
              <w:rPr>
                <w:bCs/>
                <w:kern w:val="0"/>
                <w:szCs w:val="21"/>
              </w:rPr>
            </w:pPr>
          </w:p>
        </w:tc>
        <w:tc>
          <w:tcPr>
            <w:tcW w:w="1648" w:type="dxa"/>
            <w:noWrap w:val="0"/>
            <w:tcMar>
              <w:left w:w="75" w:type="dxa"/>
            </w:tcMar>
            <w:vAlign w:val="center"/>
          </w:tcPr>
          <w:p w14:paraId="2B4B6E00">
            <w:pPr>
              <w:spacing w:line="500" w:lineRule="exact"/>
              <w:jc w:val="center"/>
              <w:rPr>
                <w:color w:val="000000"/>
              </w:rPr>
            </w:pPr>
            <w:r>
              <w:rPr>
                <w:color w:val="000000"/>
              </w:rPr>
              <w:t>投标文件格式</w:t>
            </w:r>
          </w:p>
        </w:tc>
        <w:tc>
          <w:tcPr>
            <w:tcW w:w="5962" w:type="dxa"/>
            <w:noWrap w:val="0"/>
            <w:tcMar>
              <w:left w:w="75" w:type="dxa"/>
            </w:tcMar>
            <w:vAlign w:val="center"/>
          </w:tcPr>
          <w:p w14:paraId="7586B0E9">
            <w:pPr>
              <w:spacing w:line="500" w:lineRule="exact"/>
              <w:rPr>
                <w:color w:val="000000"/>
              </w:rPr>
            </w:pPr>
            <w:r>
              <w:rPr>
                <w:color w:val="000000"/>
              </w:rPr>
              <w:t>符合第六章“投标文件格式”的规定</w:t>
            </w:r>
          </w:p>
        </w:tc>
      </w:tr>
      <w:tr w14:paraId="25C5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51D0F042">
            <w:pPr>
              <w:widowControl/>
              <w:spacing w:line="500" w:lineRule="exact"/>
              <w:jc w:val="center"/>
              <w:rPr>
                <w:bCs/>
                <w:kern w:val="0"/>
                <w:szCs w:val="21"/>
              </w:rPr>
            </w:pPr>
          </w:p>
        </w:tc>
        <w:tc>
          <w:tcPr>
            <w:tcW w:w="890" w:type="dxa"/>
            <w:vMerge w:val="continue"/>
            <w:noWrap w:val="0"/>
            <w:vAlign w:val="center"/>
          </w:tcPr>
          <w:p w14:paraId="70C34C7C">
            <w:pPr>
              <w:widowControl/>
              <w:spacing w:line="500" w:lineRule="exact"/>
              <w:jc w:val="center"/>
              <w:rPr>
                <w:bCs/>
                <w:kern w:val="0"/>
                <w:szCs w:val="21"/>
              </w:rPr>
            </w:pPr>
          </w:p>
        </w:tc>
        <w:tc>
          <w:tcPr>
            <w:tcW w:w="1648" w:type="dxa"/>
            <w:noWrap w:val="0"/>
            <w:tcMar>
              <w:left w:w="75" w:type="dxa"/>
            </w:tcMar>
            <w:vAlign w:val="center"/>
          </w:tcPr>
          <w:p w14:paraId="2EB92411">
            <w:pPr>
              <w:spacing w:line="500" w:lineRule="exact"/>
              <w:jc w:val="center"/>
              <w:rPr>
                <w:color w:val="000000"/>
              </w:rPr>
            </w:pPr>
            <w:r>
              <w:rPr>
                <w:color w:val="000000"/>
              </w:rPr>
              <w:t>联合体投标人</w:t>
            </w:r>
            <w:r>
              <w:rPr>
                <w:i/>
                <w:iCs/>
                <w:color w:val="auto"/>
              </w:rPr>
              <w:t>（本招标项目不适用）</w:t>
            </w:r>
          </w:p>
        </w:tc>
        <w:tc>
          <w:tcPr>
            <w:tcW w:w="5962" w:type="dxa"/>
            <w:noWrap w:val="0"/>
            <w:tcMar>
              <w:left w:w="75" w:type="dxa"/>
            </w:tcMar>
            <w:vAlign w:val="center"/>
          </w:tcPr>
          <w:p w14:paraId="70785BF7">
            <w:pPr>
              <w:spacing w:line="500" w:lineRule="exact"/>
              <w:rPr>
                <w:color w:val="000000"/>
              </w:rPr>
            </w:pPr>
            <w:r>
              <w:rPr>
                <w:color w:val="000000"/>
              </w:rPr>
              <w:t>提交符合招标文件要求的联合体协议书，明确各方承担连带责任，并明确联合体牵头人</w:t>
            </w:r>
          </w:p>
        </w:tc>
      </w:tr>
      <w:tr w14:paraId="4B99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2AC61111">
            <w:pPr>
              <w:widowControl/>
              <w:spacing w:line="500" w:lineRule="exact"/>
              <w:jc w:val="center"/>
              <w:rPr>
                <w:bCs/>
                <w:kern w:val="0"/>
                <w:szCs w:val="21"/>
              </w:rPr>
            </w:pPr>
          </w:p>
        </w:tc>
        <w:tc>
          <w:tcPr>
            <w:tcW w:w="890" w:type="dxa"/>
            <w:vMerge w:val="continue"/>
            <w:noWrap w:val="0"/>
            <w:vAlign w:val="center"/>
          </w:tcPr>
          <w:p w14:paraId="68D099BB">
            <w:pPr>
              <w:widowControl/>
              <w:spacing w:line="500" w:lineRule="exact"/>
              <w:jc w:val="center"/>
              <w:rPr>
                <w:bCs/>
                <w:kern w:val="0"/>
                <w:szCs w:val="21"/>
              </w:rPr>
            </w:pPr>
          </w:p>
        </w:tc>
        <w:tc>
          <w:tcPr>
            <w:tcW w:w="1648" w:type="dxa"/>
            <w:noWrap w:val="0"/>
            <w:tcMar>
              <w:left w:w="75" w:type="dxa"/>
            </w:tcMar>
            <w:vAlign w:val="center"/>
          </w:tcPr>
          <w:p w14:paraId="30259C8B">
            <w:pPr>
              <w:spacing w:line="500" w:lineRule="exact"/>
              <w:jc w:val="center"/>
              <w:rPr>
                <w:color w:val="000000"/>
              </w:rPr>
            </w:pPr>
            <w:r>
              <w:rPr>
                <w:kern w:val="0"/>
                <w:szCs w:val="21"/>
              </w:rPr>
              <w:t>备选投标方案</w:t>
            </w:r>
          </w:p>
        </w:tc>
        <w:tc>
          <w:tcPr>
            <w:tcW w:w="5962" w:type="dxa"/>
            <w:noWrap w:val="0"/>
            <w:tcMar>
              <w:left w:w="75" w:type="dxa"/>
            </w:tcMar>
            <w:vAlign w:val="center"/>
          </w:tcPr>
          <w:p w14:paraId="1AA7C7CF">
            <w:pPr>
              <w:spacing w:line="500" w:lineRule="exact"/>
              <w:rPr>
                <w:color w:val="000000"/>
              </w:rPr>
            </w:pPr>
            <w:r>
              <w:rPr>
                <w:kern w:val="0"/>
                <w:szCs w:val="21"/>
              </w:rPr>
              <w:t>除招标文件明确允许备选投标方案外，投标人不得提交备选投标方案</w:t>
            </w:r>
          </w:p>
        </w:tc>
      </w:tr>
      <w:tr w14:paraId="69C3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14:paraId="0B6BC686">
            <w:pPr>
              <w:widowControl/>
              <w:spacing w:line="500" w:lineRule="exact"/>
              <w:jc w:val="center"/>
              <w:rPr>
                <w:bCs/>
                <w:kern w:val="0"/>
                <w:szCs w:val="21"/>
              </w:rPr>
            </w:pPr>
            <w:r>
              <w:rPr>
                <w:bCs/>
                <w:kern w:val="0"/>
                <w:szCs w:val="21"/>
              </w:rPr>
              <w:t>2.1.2</w:t>
            </w:r>
          </w:p>
        </w:tc>
        <w:tc>
          <w:tcPr>
            <w:tcW w:w="890" w:type="dxa"/>
            <w:vMerge w:val="restart"/>
            <w:noWrap w:val="0"/>
            <w:vAlign w:val="center"/>
          </w:tcPr>
          <w:p w14:paraId="6BCA1E8C">
            <w:pPr>
              <w:widowControl/>
              <w:spacing w:line="500" w:lineRule="exact"/>
              <w:jc w:val="center"/>
              <w:rPr>
                <w:kern w:val="0"/>
                <w:szCs w:val="21"/>
              </w:rPr>
            </w:pPr>
            <w:r>
              <w:rPr>
                <w:bCs/>
                <w:kern w:val="0"/>
                <w:szCs w:val="21"/>
              </w:rPr>
              <w:t>资格评审标准</w:t>
            </w:r>
          </w:p>
        </w:tc>
        <w:tc>
          <w:tcPr>
            <w:tcW w:w="1648" w:type="dxa"/>
            <w:noWrap w:val="0"/>
            <w:tcMar>
              <w:left w:w="75" w:type="dxa"/>
            </w:tcMar>
            <w:vAlign w:val="center"/>
          </w:tcPr>
          <w:p w14:paraId="2E2FA709">
            <w:pPr>
              <w:spacing w:line="500" w:lineRule="exact"/>
              <w:jc w:val="center"/>
              <w:rPr>
                <w:color w:val="000000"/>
              </w:rPr>
            </w:pPr>
            <w:r>
              <w:rPr>
                <w:color w:val="000000"/>
              </w:rPr>
              <w:t>营业执照（事业单位法人证书）</w:t>
            </w:r>
          </w:p>
        </w:tc>
        <w:tc>
          <w:tcPr>
            <w:tcW w:w="5962" w:type="dxa"/>
            <w:noWrap w:val="0"/>
            <w:tcMar>
              <w:left w:w="75" w:type="dxa"/>
            </w:tcMar>
            <w:vAlign w:val="center"/>
          </w:tcPr>
          <w:p w14:paraId="5C127B79">
            <w:pPr>
              <w:spacing w:line="500" w:lineRule="exact"/>
              <w:jc w:val="left"/>
              <w:rPr>
                <w:color w:val="000000"/>
                <w:kern w:val="0"/>
                <w:szCs w:val="21"/>
              </w:rPr>
            </w:pPr>
            <w:r>
              <w:rPr>
                <w:color w:val="000000"/>
              </w:rPr>
              <w:t>符合第二章</w:t>
            </w:r>
            <w:r>
              <w:rPr>
                <w:kern w:val="0"/>
                <w:szCs w:val="21"/>
              </w:rPr>
              <w:t>“投标人须知”</w:t>
            </w:r>
            <w:r>
              <w:rPr>
                <w:color w:val="000000"/>
              </w:rPr>
              <w:t>第3.5.1项规定，具备有效的营业执照（事业单位法人证书）</w:t>
            </w:r>
            <w:r>
              <w:rPr>
                <w:color w:val="000000"/>
                <w:kern w:val="0"/>
                <w:szCs w:val="21"/>
              </w:rPr>
              <w:t>，如为联合体投标，联合体各方均须提供</w:t>
            </w:r>
          </w:p>
        </w:tc>
      </w:tr>
      <w:tr w14:paraId="5A12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23C3C3F5">
            <w:pPr>
              <w:widowControl/>
              <w:spacing w:line="500" w:lineRule="exact"/>
              <w:jc w:val="left"/>
              <w:rPr>
                <w:kern w:val="0"/>
                <w:szCs w:val="21"/>
              </w:rPr>
            </w:pPr>
          </w:p>
        </w:tc>
        <w:tc>
          <w:tcPr>
            <w:tcW w:w="890" w:type="dxa"/>
            <w:vMerge w:val="continue"/>
            <w:noWrap w:val="0"/>
            <w:vAlign w:val="center"/>
          </w:tcPr>
          <w:p w14:paraId="2DFA445F">
            <w:pPr>
              <w:widowControl/>
              <w:spacing w:line="500" w:lineRule="exact"/>
              <w:jc w:val="left"/>
              <w:rPr>
                <w:kern w:val="0"/>
                <w:szCs w:val="21"/>
              </w:rPr>
            </w:pPr>
          </w:p>
        </w:tc>
        <w:tc>
          <w:tcPr>
            <w:tcW w:w="1648" w:type="dxa"/>
            <w:noWrap w:val="0"/>
            <w:tcMar>
              <w:left w:w="75" w:type="dxa"/>
            </w:tcMar>
            <w:vAlign w:val="center"/>
          </w:tcPr>
          <w:p w14:paraId="75527E4C">
            <w:pPr>
              <w:spacing w:line="500" w:lineRule="exact"/>
              <w:jc w:val="center"/>
              <w:rPr>
                <w:color w:val="000000"/>
              </w:rPr>
            </w:pPr>
            <w:r>
              <w:rPr>
                <w:color w:val="000000"/>
              </w:rPr>
              <w:t>资质要求</w:t>
            </w:r>
          </w:p>
        </w:tc>
        <w:tc>
          <w:tcPr>
            <w:tcW w:w="5962" w:type="dxa"/>
            <w:noWrap w:val="0"/>
            <w:tcMar>
              <w:left w:w="75" w:type="dxa"/>
            </w:tcMar>
            <w:vAlign w:val="center"/>
          </w:tcPr>
          <w:p w14:paraId="27CADA9B">
            <w:pPr>
              <w:spacing w:line="500" w:lineRule="exact"/>
              <w:rPr>
                <w:color w:val="000000"/>
              </w:rPr>
            </w:pPr>
            <w:r>
              <w:rPr>
                <w:color w:val="000000"/>
              </w:rPr>
              <w:t>符合第二章</w:t>
            </w:r>
            <w:r>
              <w:rPr>
                <w:kern w:val="0"/>
                <w:szCs w:val="21"/>
              </w:rPr>
              <w:t>“投标人须知”</w:t>
            </w:r>
            <w:r>
              <w:rPr>
                <w:color w:val="000000"/>
              </w:rPr>
              <w:t>第1.4.1项规定</w:t>
            </w:r>
          </w:p>
        </w:tc>
      </w:tr>
      <w:tr w14:paraId="25A9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2438C3EF">
            <w:pPr>
              <w:widowControl/>
              <w:spacing w:line="500" w:lineRule="exact"/>
              <w:jc w:val="left"/>
              <w:rPr>
                <w:kern w:val="0"/>
                <w:szCs w:val="21"/>
              </w:rPr>
            </w:pPr>
          </w:p>
        </w:tc>
        <w:tc>
          <w:tcPr>
            <w:tcW w:w="890" w:type="dxa"/>
            <w:vMerge w:val="continue"/>
            <w:noWrap w:val="0"/>
            <w:vAlign w:val="center"/>
          </w:tcPr>
          <w:p w14:paraId="4E6EE49E">
            <w:pPr>
              <w:widowControl/>
              <w:spacing w:line="500" w:lineRule="exact"/>
              <w:jc w:val="left"/>
              <w:rPr>
                <w:kern w:val="0"/>
                <w:szCs w:val="21"/>
              </w:rPr>
            </w:pPr>
          </w:p>
        </w:tc>
        <w:tc>
          <w:tcPr>
            <w:tcW w:w="1648" w:type="dxa"/>
            <w:noWrap w:val="0"/>
            <w:tcMar>
              <w:left w:w="75" w:type="dxa"/>
            </w:tcMar>
            <w:vAlign w:val="center"/>
          </w:tcPr>
          <w:p w14:paraId="5DE6BD5B">
            <w:pPr>
              <w:spacing w:line="500" w:lineRule="exact"/>
              <w:jc w:val="center"/>
              <w:rPr>
                <w:color w:val="000000"/>
              </w:rPr>
            </w:pPr>
            <w:r>
              <w:rPr>
                <w:color w:val="000000"/>
              </w:rPr>
              <w:t>投标货物制造商的资质要求（如有）</w:t>
            </w:r>
          </w:p>
        </w:tc>
        <w:tc>
          <w:tcPr>
            <w:tcW w:w="5962" w:type="dxa"/>
            <w:noWrap w:val="0"/>
            <w:tcMar>
              <w:left w:w="75" w:type="dxa"/>
            </w:tcMar>
            <w:vAlign w:val="center"/>
          </w:tcPr>
          <w:p w14:paraId="44EEC3EB">
            <w:pPr>
              <w:spacing w:line="500" w:lineRule="exact"/>
              <w:rPr>
                <w:color w:val="000000"/>
              </w:rPr>
            </w:pPr>
            <w:r>
              <w:rPr>
                <w:color w:val="000000"/>
              </w:rPr>
              <w:t>符合第二章</w:t>
            </w:r>
            <w:r>
              <w:rPr>
                <w:kern w:val="0"/>
                <w:szCs w:val="21"/>
              </w:rPr>
              <w:t>“投标人须知”</w:t>
            </w:r>
            <w:r>
              <w:rPr>
                <w:color w:val="000000"/>
              </w:rPr>
              <w:t>第1.4.1项规定</w:t>
            </w:r>
          </w:p>
        </w:tc>
      </w:tr>
      <w:tr w14:paraId="463E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65E7C48B">
            <w:pPr>
              <w:widowControl/>
              <w:spacing w:line="500" w:lineRule="exact"/>
              <w:jc w:val="left"/>
              <w:rPr>
                <w:kern w:val="0"/>
                <w:szCs w:val="21"/>
              </w:rPr>
            </w:pPr>
          </w:p>
        </w:tc>
        <w:tc>
          <w:tcPr>
            <w:tcW w:w="890" w:type="dxa"/>
            <w:vMerge w:val="continue"/>
            <w:noWrap w:val="0"/>
            <w:vAlign w:val="center"/>
          </w:tcPr>
          <w:p w14:paraId="38792196">
            <w:pPr>
              <w:widowControl/>
              <w:spacing w:line="500" w:lineRule="exact"/>
              <w:jc w:val="left"/>
              <w:rPr>
                <w:kern w:val="0"/>
                <w:szCs w:val="21"/>
              </w:rPr>
            </w:pPr>
          </w:p>
        </w:tc>
        <w:tc>
          <w:tcPr>
            <w:tcW w:w="1648" w:type="dxa"/>
            <w:noWrap w:val="0"/>
            <w:tcMar>
              <w:left w:w="75" w:type="dxa"/>
            </w:tcMar>
            <w:vAlign w:val="center"/>
          </w:tcPr>
          <w:p w14:paraId="65BFAEE6">
            <w:pPr>
              <w:widowControl/>
              <w:adjustRightInd w:val="0"/>
              <w:snapToGrid w:val="0"/>
              <w:spacing w:line="500" w:lineRule="exact"/>
              <w:jc w:val="center"/>
              <w:rPr>
                <w:color w:val="000000"/>
                <w:kern w:val="0"/>
                <w:szCs w:val="21"/>
              </w:rPr>
            </w:pPr>
            <w:r>
              <w:rPr>
                <w:color w:val="000000"/>
                <w:kern w:val="0"/>
                <w:szCs w:val="21"/>
              </w:rPr>
              <w:t>生产/制造许可证（如有）</w:t>
            </w:r>
          </w:p>
        </w:tc>
        <w:tc>
          <w:tcPr>
            <w:tcW w:w="5962" w:type="dxa"/>
            <w:noWrap w:val="0"/>
            <w:tcMar>
              <w:left w:w="75" w:type="dxa"/>
            </w:tcMar>
            <w:vAlign w:val="center"/>
          </w:tcPr>
          <w:p w14:paraId="2CDB4F5C">
            <w:pPr>
              <w:spacing w:line="500" w:lineRule="exact"/>
              <w:jc w:val="left"/>
              <w:rPr>
                <w:color w:val="000000"/>
                <w:kern w:val="0"/>
                <w:szCs w:val="21"/>
              </w:rPr>
            </w:pPr>
            <w:r>
              <w:rPr>
                <w:color w:val="000000"/>
                <w:szCs w:val="21"/>
              </w:rPr>
              <w:t>具备有效的生产/制造许可证</w:t>
            </w:r>
          </w:p>
        </w:tc>
      </w:tr>
      <w:tr w14:paraId="1880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3725DB95">
            <w:pPr>
              <w:widowControl/>
              <w:spacing w:line="500" w:lineRule="exact"/>
              <w:jc w:val="left"/>
              <w:rPr>
                <w:kern w:val="0"/>
                <w:szCs w:val="21"/>
              </w:rPr>
            </w:pPr>
          </w:p>
        </w:tc>
        <w:tc>
          <w:tcPr>
            <w:tcW w:w="890" w:type="dxa"/>
            <w:vMerge w:val="continue"/>
            <w:noWrap w:val="0"/>
            <w:vAlign w:val="center"/>
          </w:tcPr>
          <w:p w14:paraId="1C1D1722">
            <w:pPr>
              <w:widowControl/>
              <w:spacing w:line="500" w:lineRule="exact"/>
              <w:jc w:val="left"/>
              <w:rPr>
                <w:kern w:val="0"/>
                <w:szCs w:val="21"/>
              </w:rPr>
            </w:pPr>
          </w:p>
        </w:tc>
        <w:tc>
          <w:tcPr>
            <w:tcW w:w="1648" w:type="dxa"/>
            <w:noWrap w:val="0"/>
            <w:tcMar>
              <w:left w:w="75" w:type="dxa"/>
            </w:tcMar>
            <w:vAlign w:val="center"/>
          </w:tcPr>
          <w:p w14:paraId="308F97B7">
            <w:pPr>
              <w:widowControl/>
              <w:adjustRightInd w:val="0"/>
              <w:snapToGrid w:val="0"/>
              <w:spacing w:line="500" w:lineRule="exact"/>
              <w:jc w:val="center"/>
              <w:rPr>
                <w:kern w:val="0"/>
                <w:szCs w:val="21"/>
              </w:rPr>
            </w:pPr>
            <w:r>
              <w:rPr>
                <w:kern w:val="0"/>
                <w:szCs w:val="21"/>
              </w:rPr>
              <w:t>投标人业绩要求</w:t>
            </w:r>
          </w:p>
        </w:tc>
        <w:tc>
          <w:tcPr>
            <w:tcW w:w="5962" w:type="dxa"/>
            <w:noWrap w:val="0"/>
            <w:tcMar>
              <w:left w:w="75" w:type="dxa"/>
            </w:tcMar>
            <w:vAlign w:val="center"/>
          </w:tcPr>
          <w:p w14:paraId="51B21940">
            <w:pPr>
              <w:spacing w:line="500" w:lineRule="exact"/>
              <w:jc w:val="left"/>
              <w:rPr>
                <w:kern w:val="0"/>
                <w:szCs w:val="21"/>
              </w:rPr>
            </w:pPr>
            <w:r>
              <w:rPr>
                <w:kern w:val="0"/>
                <w:szCs w:val="21"/>
              </w:rPr>
              <w:t>符合第二章“投标人须知”第1.4.1项规定</w:t>
            </w:r>
          </w:p>
        </w:tc>
      </w:tr>
      <w:tr w14:paraId="6017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2A3D51E5">
            <w:pPr>
              <w:widowControl/>
              <w:spacing w:line="500" w:lineRule="exact"/>
              <w:jc w:val="left"/>
              <w:rPr>
                <w:kern w:val="0"/>
                <w:szCs w:val="21"/>
              </w:rPr>
            </w:pPr>
          </w:p>
        </w:tc>
        <w:tc>
          <w:tcPr>
            <w:tcW w:w="890" w:type="dxa"/>
            <w:vMerge w:val="continue"/>
            <w:noWrap w:val="0"/>
            <w:vAlign w:val="center"/>
          </w:tcPr>
          <w:p w14:paraId="7F0F2A4F">
            <w:pPr>
              <w:widowControl/>
              <w:spacing w:line="500" w:lineRule="exact"/>
              <w:jc w:val="left"/>
              <w:rPr>
                <w:kern w:val="0"/>
                <w:szCs w:val="21"/>
              </w:rPr>
            </w:pPr>
          </w:p>
        </w:tc>
        <w:tc>
          <w:tcPr>
            <w:tcW w:w="1648" w:type="dxa"/>
            <w:noWrap w:val="0"/>
            <w:tcMar>
              <w:left w:w="75" w:type="dxa"/>
            </w:tcMar>
            <w:vAlign w:val="center"/>
          </w:tcPr>
          <w:p w14:paraId="19DC216C">
            <w:pPr>
              <w:spacing w:line="500" w:lineRule="exact"/>
              <w:jc w:val="center"/>
              <w:rPr>
                <w:color w:val="000000"/>
              </w:rPr>
            </w:pPr>
            <w:r>
              <w:rPr>
                <w:color w:val="000000"/>
              </w:rPr>
              <w:t>投标货物的业绩要求（如有）</w:t>
            </w:r>
          </w:p>
        </w:tc>
        <w:tc>
          <w:tcPr>
            <w:tcW w:w="5962" w:type="dxa"/>
            <w:noWrap w:val="0"/>
            <w:tcMar>
              <w:left w:w="75" w:type="dxa"/>
            </w:tcMar>
            <w:vAlign w:val="center"/>
          </w:tcPr>
          <w:p w14:paraId="2E24E5A0">
            <w:pPr>
              <w:spacing w:line="500" w:lineRule="exact"/>
              <w:rPr>
                <w:color w:val="0000FF"/>
              </w:rPr>
            </w:pPr>
            <w:r>
              <w:rPr>
                <w:color w:val="000000"/>
              </w:rPr>
              <w:t>符合第二章</w:t>
            </w:r>
            <w:r>
              <w:rPr>
                <w:kern w:val="0"/>
                <w:szCs w:val="21"/>
              </w:rPr>
              <w:t>“投标人须知”</w:t>
            </w:r>
            <w:r>
              <w:rPr>
                <w:color w:val="000000"/>
              </w:rPr>
              <w:t>第1.4.1项规定</w:t>
            </w:r>
          </w:p>
        </w:tc>
      </w:tr>
      <w:tr w14:paraId="4337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5366FFA3">
            <w:pPr>
              <w:widowControl/>
              <w:spacing w:line="500" w:lineRule="exact"/>
              <w:jc w:val="left"/>
              <w:rPr>
                <w:kern w:val="0"/>
                <w:szCs w:val="21"/>
              </w:rPr>
            </w:pPr>
          </w:p>
        </w:tc>
        <w:tc>
          <w:tcPr>
            <w:tcW w:w="890" w:type="dxa"/>
            <w:vMerge w:val="continue"/>
            <w:noWrap w:val="0"/>
            <w:vAlign w:val="center"/>
          </w:tcPr>
          <w:p w14:paraId="114F32EE">
            <w:pPr>
              <w:widowControl/>
              <w:spacing w:line="500" w:lineRule="exact"/>
              <w:jc w:val="left"/>
              <w:rPr>
                <w:kern w:val="0"/>
                <w:szCs w:val="21"/>
              </w:rPr>
            </w:pPr>
          </w:p>
        </w:tc>
        <w:tc>
          <w:tcPr>
            <w:tcW w:w="1648" w:type="dxa"/>
            <w:noWrap w:val="0"/>
            <w:tcMar>
              <w:left w:w="75" w:type="dxa"/>
            </w:tcMar>
            <w:vAlign w:val="center"/>
          </w:tcPr>
          <w:p w14:paraId="46CD06C6">
            <w:pPr>
              <w:widowControl/>
              <w:adjustRightInd w:val="0"/>
              <w:snapToGrid w:val="0"/>
              <w:spacing w:line="500" w:lineRule="exact"/>
              <w:jc w:val="center"/>
              <w:rPr>
                <w:kern w:val="0"/>
                <w:szCs w:val="21"/>
              </w:rPr>
            </w:pPr>
            <w:r>
              <w:rPr>
                <w:kern w:val="0"/>
                <w:szCs w:val="21"/>
              </w:rPr>
              <w:t>信誉要求</w:t>
            </w:r>
          </w:p>
        </w:tc>
        <w:tc>
          <w:tcPr>
            <w:tcW w:w="5962" w:type="dxa"/>
            <w:noWrap w:val="0"/>
            <w:tcMar>
              <w:left w:w="75" w:type="dxa"/>
            </w:tcMar>
            <w:vAlign w:val="center"/>
          </w:tcPr>
          <w:p w14:paraId="7B7AA85A">
            <w:pPr>
              <w:spacing w:line="500" w:lineRule="exact"/>
              <w:jc w:val="left"/>
              <w:rPr>
                <w:kern w:val="0"/>
                <w:szCs w:val="21"/>
              </w:rPr>
            </w:pPr>
            <w:r>
              <w:rPr>
                <w:kern w:val="0"/>
                <w:szCs w:val="21"/>
              </w:rPr>
              <w:t>符合第二章“投标人须知”第1.4.1项规定。</w:t>
            </w:r>
            <w:r>
              <w:rPr>
                <w:bCs/>
                <w:i/>
                <w:iCs/>
                <w:color w:val="auto"/>
              </w:rPr>
              <w:t>投标人在投标函中承诺，不需要提供相关证明</w:t>
            </w:r>
          </w:p>
        </w:tc>
      </w:tr>
      <w:tr w14:paraId="6ED3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142BAEB6">
            <w:pPr>
              <w:widowControl/>
              <w:spacing w:line="500" w:lineRule="exact"/>
              <w:jc w:val="left"/>
              <w:rPr>
                <w:kern w:val="0"/>
                <w:szCs w:val="21"/>
              </w:rPr>
            </w:pPr>
          </w:p>
        </w:tc>
        <w:tc>
          <w:tcPr>
            <w:tcW w:w="890" w:type="dxa"/>
            <w:vMerge w:val="continue"/>
            <w:noWrap w:val="0"/>
            <w:vAlign w:val="center"/>
          </w:tcPr>
          <w:p w14:paraId="78FD984E">
            <w:pPr>
              <w:widowControl/>
              <w:spacing w:line="500" w:lineRule="exact"/>
              <w:jc w:val="left"/>
              <w:rPr>
                <w:kern w:val="0"/>
                <w:szCs w:val="21"/>
              </w:rPr>
            </w:pPr>
          </w:p>
        </w:tc>
        <w:tc>
          <w:tcPr>
            <w:tcW w:w="1648" w:type="dxa"/>
            <w:noWrap w:val="0"/>
            <w:tcMar>
              <w:left w:w="75" w:type="dxa"/>
            </w:tcMar>
            <w:vAlign w:val="center"/>
          </w:tcPr>
          <w:p w14:paraId="09944B6A">
            <w:pPr>
              <w:widowControl/>
              <w:adjustRightInd w:val="0"/>
              <w:snapToGrid w:val="0"/>
              <w:spacing w:line="500" w:lineRule="exact"/>
              <w:jc w:val="center"/>
            </w:pPr>
            <w:r>
              <w:t>其他要求</w:t>
            </w:r>
          </w:p>
        </w:tc>
        <w:tc>
          <w:tcPr>
            <w:tcW w:w="5962" w:type="dxa"/>
            <w:noWrap w:val="0"/>
            <w:tcMar>
              <w:left w:w="75" w:type="dxa"/>
            </w:tcMar>
            <w:vAlign w:val="center"/>
          </w:tcPr>
          <w:p w14:paraId="11DBA082">
            <w:pPr>
              <w:widowControl/>
              <w:spacing w:line="500" w:lineRule="exact"/>
              <w:jc w:val="left"/>
              <w:rPr>
                <w:kern w:val="0"/>
                <w:szCs w:val="21"/>
              </w:rPr>
            </w:pPr>
            <w:r>
              <w:rPr>
                <w:kern w:val="0"/>
                <w:szCs w:val="21"/>
              </w:rPr>
              <w:t>符合第二章“投标人须知”第1.4.1项规定</w:t>
            </w:r>
          </w:p>
        </w:tc>
      </w:tr>
      <w:tr w14:paraId="0AC5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53D36CCC">
            <w:pPr>
              <w:widowControl/>
              <w:spacing w:line="500" w:lineRule="exact"/>
              <w:jc w:val="left"/>
              <w:rPr>
                <w:kern w:val="0"/>
                <w:szCs w:val="21"/>
              </w:rPr>
            </w:pPr>
          </w:p>
        </w:tc>
        <w:tc>
          <w:tcPr>
            <w:tcW w:w="890" w:type="dxa"/>
            <w:vMerge w:val="continue"/>
            <w:noWrap w:val="0"/>
            <w:vAlign w:val="center"/>
          </w:tcPr>
          <w:p w14:paraId="396FBA19">
            <w:pPr>
              <w:widowControl/>
              <w:spacing w:line="500" w:lineRule="exact"/>
              <w:jc w:val="left"/>
              <w:rPr>
                <w:kern w:val="0"/>
                <w:szCs w:val="21"/>
              </w:rPr>
            </w:pPr>
          </w:p>
        </w:tc>
        <w:tc>
          <w:tcPr>
            <w:tcW w:w="1648" w:type="dxa"/>
            <w:noWrap w:val="0"/>
            <w:tcMar>
              <w:left w:w="75" w:type="dxa"/>
            </w:tcMar>
            <w:vAlign w:val="center"/>
          </w:tcPr>
          <w:p w14:paraId="291361F4">
            <w:pPr>
              <w:widowControl/>
              <w:adjustRightInd w:val="0"/>
              <w:snapToGrid w:val="0"/>
              <w:spacing w:line="500" w:lineRule="exact"/>
              <w:jc w:val="center"/>
            </w:pPr>
            <w:r>
              <w:t>联合体投标人</w:t>
            </w:r>
            <w:r>
              <w:rPr>
                <w:color w:val="000000"/>
              </w:rPr>
              <w:t>（</w:t>
            </w:r>
            <w:r>
              <w:rPr>
                <w:i/>
                <w:iCs/>
                <w:color w:val="auto"/>
              </w:rPr>
              <w:t>本招标项目不适用</w:t>
            </w:r>
            <w:r>
              <w:rPr>
                <w:color w:val="000000"/>
              </w:rPr>
              <w:t>）</w:t>
            </w:r>
          </w:p>
        </w:tc>
        <w:tc>
          <w:tcPr>
            <w:tcW w:w="5962" w:type="dxa"/>
            <w:noWrap w:val="0"/>
            <w:tcMar>
              <w:left w:w="75" w:type="dxa"/>
            </w:tcMar>
            <w:vAlign w:val="center"/>
          </w:tcPr>
          <w:p w14:paraId="2FAD135D">
            <w:pPr>
              <w:widowControl/>
              <w:spacing w:line="500" w:lineRule="exact"/>
              <w:jc w:val="left"/>
              <w:rPr>
                <w:kern w:val="0"/>
                <w:szCs w:val="21"/>
              </w:rPr>
            </w:pPr>
            <w:r>
              <w:rPr>
                <w:kern w:val="0"/>
                <w:szCs w:val="21"/>
              </w:rPr>
              <w:t>符合第二章“投标人须知”第1.4.2项规定</w:t>
            </w:r>
          </w:p>
        </w:tc>
      </w:tr>
      <w:tr w14:paraId="72FB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37F2BD52">
            <w:pPr>
              <w:widowControl/>
              <w:spacing w:line="500" w:lineRule="exact"/>
              <w:jc w:val="left"/>
              <w:rPr>
                <w:kern w:val="0"/>
                <w:szCs w:val="21"/>
              </w:rPr>
            </w:pPr>
          </w:p>
        </w:tc>
        <w:tc>
          <w:tcPr>
            <w:tcW w:w="890" w:type="dxa"/>
            <w:vMerge w:val="continue"/>
            <w:noWrap w:val="0"/>
            <w:vAlign w:val="center"/>
          </w:tcPr>
          <w:p w14:paraId="4D6F6277">
            <w:pPr>
              <w:widowControl/>
              <w:spacing w:line="500" w:lineRule="exact"/>
              <w:jc w:val="left"/>
              <w:rPr>
                <w:kern w:val="0"/>
                <w:szCs w:val="21"/>
              </w:rPr>
            </w:pPr>
          </w:p>
        </w:tc>
        <w:tc>
          <w:tcPr>
            <w:tcW w:w="1648" w:type="dxa"/>
            <w:noWrap w:val="0"/>
            <w:tcMar>
              <w:left w:w="75" w:type="dxa"/>
            </w:tcMar>
            <w:vAlign w:val="center"/>
          </w:tcPr>
          <w:p w14:paraId="6F84E41A">
            <w:pPr>
              <w:widowControl/>
              <w:adjustRightInd w:val="0"/>
              <w:snapToGrid w:val="0"/>
              <w:spacing w:line="500" w:lineRule="exact"/>
              <w:jc w:val="center"/>
              <w:rPr>
                <w:kern w:val="0"/>
                <w:szCs w:val="21"/>
              </w:rPr>
            </w:pPr>
            <w:r>
              <w:rPr>
                <w:color w:val="000000"/>
              </w:rPr>
              <w:t>不存在禁止投标的情形</w:t>
            </w:r>
          </w:p>
        </w:tc>
        <w:tc>
          <w:tcPr>
            <w:tcW w:w="5962" w:type="dxa"/>
            <w:noWrap w:val="0"/>
            <w:tcMar>
              <w:left w:w="75" w:type="dxa"/>
            </w:tcMar>
            <w:vAlign w:val="center"/>
          </w:tcPr>
          <w:p w14:paraId="3054FFD7">
            <w:pPr>
              <w:spacing w:line="500" w:lineRule="exact"/>
              <w:jc w:val="left"/>
              <w:rPr>
                <w:kern w:val="0"/>
                <w:szCs w:val="21"/>
              </w:rPr>
            </w:pPr>
            <w:r>
              <w:rPr>
                <w:color w:val="000000"/>
              </w:rPr>
              <w:t>不存在第二章</w:t>
            </w:r>
            <w:r>
              <w:rPr>
                <w:kern w:val="0"/>
                <w:szCs w:val="21"/>
              </w:rPr>
              <w:t>“投标人须知”</w:t>
            </w:r>
            <w:r>
              <w:rPr>
                <w:color w:val="000000"/>
              </w:rPr>
              <w:t>第1.4.3项或第1.4.4项规定的任何一种情形。</w:t>
            </w:r>
            <w:r>
              <w:rPr>
                <w:bCs/>
                <w:i/>
                <w:iCs/>
                <w:color w:val="auto"/>
              </w:rPr>
              <w:t>投标人在投标函中承诺，不需要提供相关证明</w:t>
            </w:r>
          </w:p>
        </w:tc>
      </w:tr>
      <w:tr w14:paraId="23A3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14:paraId="37772960">
            <w:pPr>
              <w:widowControl/>
              <w:spacing w:line="500" w:lineRule="exact"/>
              <w:jc w:val="center"/>
              <w:rPr>
                <w:kern w:val="0"/>
                <w:szCs w:val="21"/>
              </w:rPr>
            </w:pPr>
            <w:r>
              <w:t>2.1.3</w:t>
            </w:r>
          </w:p>
        </w:tc>
        <w:tc>
          <w:tcPr>
            <w:tcW w:w="890" w:type="dxa"/>
            <w:vMerge w:val="restart"/>
            <w:noWrap w:val="0"/>
            <w:vAlign w:val="center"/>
          </w:tcPr>
          <w:p w14:paraId="6D2956A6">
            <w:pPr>
              <w:widowControl/>
              <w:spacing w:line="500" w:lineRule="exact"/>
              <w:jc w:val="left"/>
              <w:rPr>
                <w:kern w:val="0"/>
                <w:szCs w:val="21"/>
              </w:rPr>
            </w:pPr>
            <w:r>
              <w:rPr>
                <w:bCs/>
                <w:kern w:val="0"/>
                <w:szCs w:val="21"/>
              </w:rPr>
              <w:t>响应性评审标准</w:t>
            </w:r>
          </w:p>
        </w:tc>
        <w:tc>
          <w:tcPr>
            <w:tcW w:w="1648" w:type="dxa"/>
            <w:noWrap w:val="0"/>
            <w:tcMar>
              <w:left w:w="75" w:type="dxa"/>
            </w:tcMar>
            <w:vAlign w:val="center"/>
          </w:tcPr>
          <w:p w14:paraId="442A4662">
            <w:pPr>
              <w:widowControl/>
              <w:adjustRightInd w:val="0"/>
              <w:snapToGrid w:val="0"/>
              <w:spacing w:line="500" w:lineRule="exact"/>
              <w:jc w:val="center"/>
              <w:rPr>
                <w:color w:val="000000"/>
              </w:rPr>
            </w:pPr>
            <w:r>
              <w:rPr>
                <w:color w:val="000000"/>
              </w:rPr>
              <w:t>投标内容</w:t>
            </w:r>
          </w:p>
        </w:tc>
        <w:tc>
          <w:tcPr>
            <w:tcW w:w="5962" w:type="dxa"/>
            <w:noWrap w:val="0"/>
            <w:tcMar>
              <w:left w:w="75" w:type="dxa"/>
            </w:tcMar>
            <w:vAlign w:val="center"/>
          </w:tcPr>
          <w:p w14:paraId="50D085F6">
            <w:pPr>
              <w:spacing w:line="500" w:lineRule="exact"/>
              <w:jc w:val="left"/>
              <w:rPr>
                <w:color w:val="000000"/>
              </w:rPr>
            </w:pPr>
            <w:r>
              <w:rPr>
                <w:color w:val="000000"/>
              </w:rPr>
              <w:t>符合第二章</w:t>
            </w:r>
            <w:r>
              <w:rPr>
                <w:kern w:val="0"/>
                <w:szCs w:val="21"/>
              </w:rPr>
              <w:t>“投标人须知”</w:t>
            </w:r>
            <w:r>
              <w:rPr>
                <w:color w:val="000000"/>
              </w:rPr>
              <w:t>第1.3.1项规定</w:t>
            </w:r>
          </w:p>
        </w:tc>
      </w:tr>
      <w:tr w14:paraId="4228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283C6C1B">
            <w:pPr>
              <w:widowControl/>
              <w:spacing w:line="500" w:lineRule="exact"/>
              <w:jc w:val="left"/>
            </w:pPr>
          </w:p>
        </w:tc>
        <w:tc>
          <w:tcPr>
            <w:tcW w:w="890" w:type="dxa"/>
            <w:vMerge w:val="continue"/>
            <w:noWrap w:val="0"/>
            <w:vAlign w:val="center"/>
          </w:tcPr>
          <w:p w14:paraId="18E20531">
            <w:pPr>
              <w:widowControl/>
              <w:spacing w:line="500" w:lineRule="exact"/>
              <w:jc w:val="left"/>
              <w:rPr>
                <w:bCs/>
                <w:kern w:val="0"/>
                <w:szCs w:val="21"/>
              </w:rPr>
            </w:pPr>
          </w:p>
        </w:tc>
        <w:tc>
          <w:tcPr>
            <w:tcW w:w="1648" w:type="dxa"/>
            <w:noWrap w:val="0"/>
            <w:tcMar>
              <w:left w:w="75" w:type="dxa"/>
            </w:tcMar>
            <w:vAlign w:val="center"/>
          </w:tcPr>
          <w:p w14:paraId="51F8EC3C">
            <w:pPr>
              <w:widowControl/>
              <w:adjustRightInd w:val="0"/>
              <w:snapToGrid w:val="0"/>
              <w:spacing w:line="500" w:lineRule="exact"/>
              <w:jc w:val="center"/>
              <w:rPr>
                <w:color w:val="000000"/>
              </w:rPr>
            </w:pPr>
            <w:r>
              <w:rPr>
                <w:color w:val="000000"/>
              </w:rPr>
              <w:t>交货(安装)周期</w:t>
            </w:r>
          </w:p>
        </w:tc>
        <w:tc>
          <w:tcPr>
            <w:tcW w:w="5962" w:type="dxa"/>
            <w:noWrap w:val="0"/>
            <w:tcMar>
              <w:left w:w="75" w:type="dxa"/>
            </w:tcMar>
            <w:vAlign w:val="center"/>
          </w:tcPr>
          <w:p w14:paraId="4EB01195">
            <w:pPr>
              <w:spacing w:line="500" w:lineRule="exact"/>
              <w:jc w:val="left"/>
              <w:rPr>
                <w:color w:val="000000"/>
              </w:rPr>
            </w:pPr>
            <w:r>
              <w:rPr>
                <w:color w:val="000000"/>
              </w:rPr>
              <w:t>符合第二章</w:t>
            </w:r>
            <w:r>
              <w:rPr>
                <w:kern w:val="0"/>
                <w:szCs w:val="21"/>
              </w:rPr>
              <w:t>“投标人须知”</w:t>
            </w:r>
            <w:r>
              <w:rPr>
                <w:color w:val="000000"/>
              </w:rPr>
              <w:t>第1.3.2项规定</w:t>
            </w:r>
          </w:p>
        </w:tc>
      </w:tr>
      <w:tr w14:paraId="3EF2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5B67A8D7">
            <w:pPr>
              <w:widowControl/>
              <w:spacing w:line="500" w:lineRule="exact"/>
              <w:jc w:val="left"/>
            </w:pPr>
          </w:p>
        </w:tc>
        <w:tc>
          <w:tcPr>
            <w:tcW w:w="890" w:type="dxa"/>
            <w:vMerge w:val="continue"/>
            <w:noWrap w:val="0"/>
            <w:vAlign w:val="center"/>
          </w:tcPr>
          <w:p w14:paraId="2438C80E">
            <w:pPr>
              <w:widowControl/>
              <w:spacing w:line="500" w:lineRule="exact"/>
              <w:jc w:val="left"/>
              <w:rPr>
                <w:bCs/>
                <w:kern w:val="0"/>
                <w:szCs w:val="21"/>
              </w:rPr>
            </w:pPr>
          </w:p>
        </w:tc>
        <w:tc>
          <w:tcPr>
            <w:tcW w:w="1648" w:type="dxa"/>
            <w:noWrap w:val="0"/>
            <w:tcMar>
              <w:left w:w="75" w:type="dxa"/>
            </w:tcMar>
            <w:vAlign w:val="center"/>
          </w:tcPr>
          <w:p w14:paraId="23D90432">
            <w:pPr>
              <w:widowControl/>
              <w:adjustRightInd w:val="0"/>
              <w:snapToGrid w:val="0"/>
              <w:spacing w:line="500" w:lineRule="exact"/>
              <w:jc w:val="center"/>
              <w:rPr>
                <w:color w:val="000000"/>
              </w:rPr>
            </w:pPr>
            <w:r>
              <w:rPr>
                <w:color w:val="000000"/>
              </w:rPr>
              <w:t>交货(安装)地点</w:t>
            </w:r>
          </w:p>
        </w:tc>
        <w:tc>
          <w:tcPr>
            <w:tcW w:w="5962" w:type="dxa"/>
            <w:noWrap w:val="0"/>
            <w:tcMar>
              <w:left w:w="75" w:type="dxa"/>
            </w:tcMar>
            <w:vAlign w:val="center"/>
          </w:tcPr>
          <w:p w14:paraId="22479826">
            <w:pPr>
              <w:spacing w:line="500" w:lineRule="exact"/>
              <w:jc w:val="left"/>
              <w:rPr>
                <w:color w:val="000000"/>
              </w:rPr>
            </w:pPr>
            <w:r>
              <w:rPr>
                <w:color w:val="000000"/>
              </w:rPr>
              <w:t>符合第二章</w:t>
            </w:r>
            <w:r>
              <w:rPr>
                <w:kern w:val="0"/>
                <w:szCs w:val="21"/>
              </w:rPr>
              <w:t>“投标人须知”</w:t>
            </w:r>
            <w:r>
              <w:rPr>
                <w:color w:val="000000"/>
              </w:rPr>
              <w:t>第1.3.3项规定</w:t>
            </w:r>
          </w:p>
        </w:tc>
      </w:tr>
      <w:tr w14:paraId="7D23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1B7F80C0">
            <w:pPr>
              <w:widowControl/>
              <w:spacing w:line="500" w:lineRule="exact"/>
              <w:jc w:val="left"/>
            </w:pPr>
          </w:p>
        </w:tc>
        <w:tc>
          <w:tcPr>
            <w:tcW w:w="890" w:type="dxa"/>
            <w:vMerge w:val="continue"/>
            <w:noWrap w:val="0"/>
            <w:vAlign w:val="center"/>
          </w:tcPr>
          <w:p w14:paraId="63056C23">
            <w:pPr>
              <w:widowControl/>
              <w:spacing w:line="500" w:lineRule="exact"/>
              <w:jc w:val="left"/>
              <w:rPr>
                <w:bCs/>
                <w:kern w:val="0"/>
                <w:szCs w:val="21"/>
              </w:rPr>
            </w:pPr>
          </w:p>
        </w:tc>
        <w:tc>
          <w:tcPr>
            <w:tcW w:w="1648" w:type="dxa"/>
            <w:noWrap w:val="0"/>
            <w:tcMar>
              <w:left w:w="75" w:type="dxa"/>
            </w:tcMar>
            <w:vAlign w:val="center"/>
          </w:tcPr>
          <w:p w14:paraId="2C9DD1E9">
            <w:pPr>
              <w:spacing w:line="500" w:lineRule="exact"/>
              <w:jc w:val="center"/>
              <w:rPr>
                <w:color w:val="000000"/>
              </w:rPr>
            </w:pPr>
            <w:r>
              <w:rPr>
                <w:color w:val="000000"/>
              </w:rPr>
              <w:t>技术性能指标</w:t>
            </w:r>
          </w:p>
        </w:tc>
        <w:tc>
          <w:tcPr>
            <w:tcW w:w="5962" w:type="dxa"/>
            <w:noWrap w:val="0"/>
            <w:tcMar>
              <w:left w:w="75" w:type="dxa"/>
            </w:tcMar>
            <w:vAlign w:val="center"/>
          </w:tcPr>
          <w:p w14:paraId="164B0349">
            <w:pPr>
              <w:spacing w:line="500" w:lineRule="exact"/>
              <w:jc w:val="left"/>
              <w:rPr>
                <w:color w:val="000000"/>
              </w:rPr>
            </w:pPr>
            <w:r>
              <w:rPr>
                <w:color w:val="000000"/>
              </w:rPr>
              <w:t>符合第二章</w:t>
            </w:r>
            <w:r>
              <w:rPr>
                <w:kern w:val="0"/>
                <w:szCs w:val="21"/>
              </w:rPr>
              <w:t>“投标人须知”</w:t>
            </w:r>
            <w:r>
              <w:rPr>
                <w:color w:val="000000"/>
              </w:rPr>
              <w:t>第1.3.4项规定</w:t>
            </w:r>
          </w:p>
        </w:tc>
      </w:tr>
      <w:tr w14:paraId="35E5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7BB74B01">
            <w:pPr>
              <w:widowControl/>
              <w:spacing w:line="500" w:lineRule="exact"/>
              <w:jc w:val="left"/>
            </w:pPr>
          </w:p>
        </w:tc>
        <w:tc>
          <w:tcPr>
            <w:tcW w:w="890" w:type="dxa"/>
            <w:vMerge w:val="continue"/>
            <w:noWrap w:val="0"/>
            <w:vAlign w:val="center"/>
          </w:tcPr>
          <w:p w14:paraId="298DEA6C">
            <w:pPr>
              <w:widowControl/>
              <w:spacing w:line="500" w:lineRule="exact"/>
              <w:jc w:val="left"/>
              <w:rPr>
                <w:bCs/>
                <w:kern w:val="0"/>
                <w:szCs w:val="21"/>
              </w:rPr>
            </w:pPr>
          </w:p>
        </w:tc>
        <w:tc>
          <w:tcPr>
            <w:tcW w:w="1648" w:type="dxa"/>
            <w:noWrap w:val="0"/>
            <w:tcMar>
              <w:left w:w="75" w:type="dxa"/>
            </w:tcMar>
            <w:vAlign w:val="center"/>
          </w:tcPr>
          <w:p w14:paraId="0A57E925">
            <w:pPr>
              <w:widowControl/>
              <w:spacing w:line="500" w:lineRule="exact"/>
              <w:jc w:val="center"/>
              <w:rPr>
                <w:kern w:val="0"/>
                <w:szCs w:val="21"/>
              </w:rPr>
            </w:pPr>
            <w:r>
              <w:rPr>
                <w:kern w:val="0"/>
                <w:szCs w:val="21"/>
              </w:rPr>
              <w:t>投标有效期</w:t>
            </w:r>
          </w:p>
        </w:tc>
        <w:tc>
          <w:tcPr>
            <w:tcW w:w="5962" w:type="dxa"/>
            <w:noWrap w:val="0"/>
            <w:tcMar>
              <w:left w:w="75" w:type="dxa"/>
            </w:tcMar>
            <w:vAlign w:val="center"/>
          </w:tcPr>
          <w:p w14:paraId="0A23B187">
            <w:pPr>
              <w:spacing w:line="500" w:lineRule="exact"/>
              <w:rPr>
                <w:kern w:val="0"/>
                <w:szCs w:val="21"/>
              </w:rPr>
            </w:pPr>
            <w:r>
              <w:rPr>
                <w:kern w:val="0"/>
                <w:szCs w:val="21"/>
              </w:rPr>
              <w:t>符合第二章“投标人须知”第3.3.1项规定</w:t>
            </w:r>
          </w:p>
        </w:tc>
      </w:tr>
      <w:tr w14:paraId="099D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3740ADAE">
            <w:pPr>
              <w:widowControl/>
              <w:spacing w:line="500" w:lineRule="exact"/>
              <w:jc w:val="left"/>
              <w:rPr>
                <w:kern w:val="0"/>
                <w:szCs w:val="21"/>
              </w:rPr>
            </w:pPr>
          </w:p>
        </w:tc>
        <w:tc>
          <w:tcPr>
            <w:tcW w:w="890" w:type="dxa"/>
            <w:vMerge w:val="continue"/>
            <w:noWrap w:val="0"/>
            <w:vAlign w:val="center"/>
          </w:tcPr>
          <w:p w14:paraId="4F3BB4A4">
            <w:pPr>
              <w:widowControl/>
              <w:spacing w:line="500" w:lineRule="exact"/>
              <w:jc w:val="left"/>
              <w:rPr>
                <w:kern w:val="0"/>
                <w:szCs w:val="21"/>
              </w:rPr>
            </w:pPr>
          </w:p>
        </w:tc>
        <w:tc>
          <w:tcPr>
            <w:tcW w:w="1648" w:type="dxa"/>
            <w:noWrap w:val="0"/>
            <w:tcMar>
              <w:left w:w="75" w:type="dxa"/>
            </w:tcMar>
            <w:vAlign w:val="center"/>
          </w:tcPr>
          <w:p w14:paraId="63C0B37A">
            <w:pPr>
              <w:widowControl/>
              <w:spacing w:line="500" w:lineRule="exact"/>
              <w:jc w:val="center"/>
              <w:rPr>
                <w:kern w:val="0"/>
                <w:szCs w:val="21"/>
              </w:rPr>
            </w:pPr>
            <w:r>
              <w:rPr>
                <w:kern w:val="0"/>
                <w:szCs w:val="21"/>
              </w:rPr>
              <w:t>投标保证金</w:t>
            </w:r>
          </w:p>
        </w:tc>
        <w:tc>
          <w:tcPr>
            <w:tcW w:w="5962" w:type="dxa"/>
            <w:noWrap w:val="0"/>
            <w:tcMar>
              <w:left w:w="75" w:type="dxa"/>
            </w:tcMar>
            <w:vAlign w:val="center"/>
          </w:tcPr>
          <w:p w14:paraId="2A621EBF">
            <w:pPr>
              <w:widowControl/>
              <w:spacing w:line="500" w:lineRule="exact"/>
              <w:jc w:val="left"/>
              <w:rPr>
                <w:kern w:val="0"/>
                <w:szCs w:val="21"/>
              </w:rPr>
            </w:pPr>
            <w:r>
              <w:rPr>
                <w:kern w:val="0"/>
                <w:szCs w:val="21"/>
              </w:rPr>
              <w:t>符合第二章“投标人须知”第3.4.1项规定</w:t>
            </w:r>
          </w:p>
        </w:tc>
      </w:tr>
      <w:tr w14:paraId="07ED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0517B4C2">
            <w:pPr>
              <w:widowControl/>
              <w:spacing w:line="500" w:lineRule="exact"/>
              <w:jc w:val="left"/>
              <w:rPr>
                <w:kern w:val="0"/>
                <w:szCs w:val="21"/>
              </w:rPr>
            </w:pPr>
          </w:p>
        </w:tc>
        <w:tc>
          <w:tcPr>
            <w:tcW w:w="890" w:type="dxa"/>
            <w:vMerge w:val="continue"/>
            <w:noWrap w:val="0"/>
            <w:vAlign w:val="center"/>
          </w:tcPr>
          <w:p w14:paraId="0F5C9A40">
            <w:pPr>
              <w:widowControl/>
              <w:spacing w:line="500" w:lineRule="exact"/>
              <w:jc w:val="left"/>
              <w:rPr>
                <w:kern w:val="0"/>
                <w:szCs w:val="21"/>
              </w:rPr>
            </w:pPr>
          </w:p>
        </w:tc>
        <w:tc>
          <w:tcPr>
            <w:tcW w:w="1648" w:type="dxa"/>
            <w:noWrap w:val="0"/>
            <w:tcMar>
              <w:left w:w="75" w:type="dxa"/>
            </w:tcMar>
            <w:vAlign w:val="center"/>
          </w:tcPr>
          <w:p w14:paraId="349D5038">
            <w:pPr>
              <w:widowControl/>
              <w:jc w:val="center"/>
              <w:rPr>
                <w:rFonts w:hint="eastAsia"/>
                <w:kern w:val="0"/>
                <w:szCs w:val="21"/>
              </w:rPr>
            </w:pPr>
            <w:r>
              <w:rPr>
                <w:rFonts w:hint="eastAsia"/>
                <w:kern w:val="0"/>
                <w:szCs w:val="21"/>
              </w:rPr>
              <w:t>权利义务</w:t>
            </w:r>
          </w:p>
        </w:tc>
        <w:tc>
          <w:tcPr>
            <w:tcW w:w="5962" w:type="dxa"/>
            <w:noWrap w:val="0"/>
            <w:tcMar>
              <w:left w:w="75" w:type="dxa"/>
            </w:tcMar>
            <w:vAlign w:val="center"/>
          </w:tcPr>
          <w:p w14:paraId="0A46E623">
            <w:pPr>
              <w:widowControl/>
              <w:jc w:val="left"/>
              <w:rPr>
                <w:kern w:val="0"/>
                <w:szCs w:val="21"/>
              </w:rPr>
            </w:pPr>
            <w:r>
              <w:rPr>
                <w:rFonts w:hint="eastAsia"/>
              </w:rPr>
              <w:t>符合第二章</w:t>
            </w:r>
            <w:r>
              <w:t>“</w:t>
            </w:r>
            <w:r>
              <w:rPr>
                <w:rFonts w:hint="eastAsia"/>
              </w:rPr>
              <w:t>投标人须知</w:t>
            </w:r>
            <w:r>
              <w:t>”</w:t>
            </w:r>
            <w:r>
              <w:rPr>
                <w:rFonts w:hint="eastAsia"/>
              </w:rPr>
              <w:t>第</w:t>
            </w:r>
            <w:r>
              <w:t>1.1</w:t>
            </w:r>
            <w:r>
              <w:rPr>
                <w:rFonts w:hint="eastAsia"/>
              </w:rPr>
              <w:t>1</w:t>
            </w:r>
            <w:r>
              <w:t>.1</w:t>
            </w:r>
            <w:r>
              <w:rPr>
                <w:rFonts w:hint="eastAsia"/>
              </w:rPr>
              <w:t>项规定</w:t>
            </w:r>
          </w:p>
        </w:tc>
      </w:tr>
      <w:tr w14:paraId="2FE3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34E2EE68">
            <w:pPr>
              <w:widowControl/>
              <w:spacing w:line="500" w:lineRule="exact"/>
              <w:jc w:val="left"/>
              <w:rPr>
                <w:kern w:val="0"/>
                <w:szCs w:val="21"/>
              </w:rPr>
            </w:pPr>
          </w:p>
        </w:tc>
        <w:tc>
          <w:tcPr>
            <w:tcW w:w="890" w:type="dxa"/>
            <w:vMerge w:val="continue"/>
            <w:noWrap w:val="0"/>
            <w:vAlign w:val="center"/>
          </w:tcPr>
          <w:p w14:paraId="4B5137D1">
            <w:pPr>
              <w:widowControl/>
              <w:spacing w:line="500" w:lineRule="exact"/>
              <w:jc w:val="left"/>
              <w:rPr>
                <w:kern w:val="0"/>
                <w:szCs w:val="21"/>
              </w:rPr>
            </w:pPr>
          </w:p>
        </w:tc>
        <w:tc>
          <w:tcPr>
            <w:tcW w:w="1648" w:type="dxa"/>
            <w:noWrap w:val="0"/>
            <w:tcMar>
              <w:left w:w="75" w:type="dxa"/>
            </w:tcMar>
            <w:vAlign w:val="center"/>
          </w:tcPr>
          <w:p w14:paraId="266DB591">
            <w:pPr>
              <w:widowControl/>
              <w:adjustRightInd w:val="0"/>
              <w:snapToGrid w:val="0"/>
              <w:spacing w:line="500" w:lineRule="exact"/>
              <w:jc w:val="center"/>
              <w:rPr>
                <w:color w:val="000000"/>
              </w:rPr>
            </w:pPr>
            <w:r>
              <w:rPr>
                <w:color w:val="000000"/>
              </w:rPr>
              <w:t>投标货物及技术服务和质保期服务</w:t>
            </w:r>
          </w:p>
        </w:tc>
        <w:tc>
          <w:tcPr>
            <w:tcW w:w="5962" w:type="dxa"/>
            <w:noWrap w:val="0"/>
            <w:tcMar>
              <w:left w:w="75" w:type="dxa"/>
            </w:tcMar>
            <w:vAlign w:val="center"/>
          </w:tcPr>
          <w:p w14:paraId="3013DCFF">
            <w:pPr>
              <w:widowControl/>
              <w:spacing w:line="500" w:lineRule="exact"/>
              <w:rPr>
                <w:color w:val="000000"/>
                <w:kern w:val="0"/>
                <w:szCs w:val="21"/>
              </w:rPr>
            </w:pPr>
            <w:r>
              <w:rPr>
                <w:color w:val="000000"/>
              </w:rPr>
              <w:t>符合第五章“供货要求”中的实质性要求和条件</w:t>
            </w:r>
          </w:p>
        </w:tc>
      </w:tr>
      <w:tr w14:paraId="7B95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17C4DAB4">
            <w:pPr>
              <w:widowControl/>
              <w:spacing w:line="500" w:lineRule="exact"/>
              <w:jc w:val="left"/>
              <w:rPr>
                <w:kern w:val="0"/>
                <w:szCs w:val="21"/>
              </w:rPr>
            </w:pPr>
          </w:p>
        </w:tc>
        <w:tc>
          <w:tcPr>
            <w:tcW w:w="890" w:type="dxa"/>
            <w:vMerge w:val="continue"/>
            <w:noWrap w:val="0"/>
            <w:vAlign w:val="center"/>
          </w:tcPr>
          <w:p w14:paraId="47F3C706">
            <w:pPr>
              <w:widowControl/>
              <w:spacing w:line="500" w:lineRule="exact"/>
              <w:jc w:val="left"/>
              <w:rPr>
                <w:kern w:val="0"/>
                <w:szCs w:val="21"/>
              </w:rPr>
            </w:pPr>
          </w:p>
        </w:tc>
        <w:tc>
          <w:tcPr>
            <w:tcW w:w="1648" w:type="dxa"/>
            <w:noWrap w:val="0"/>
            <w:tcMar>
              <w:left w:w="75" w:type="dxa"/>
            </w:tcMar>
            <w:vAlign w:val="center"/>
          </w:tcPr>
          <w:p w14:paraId="238BE65C">
            <w:pPr>
              <w:widowControl/>
              <w:adjustRightInd w:val="0"/>
              <w:snapToGrid w:val="0"/>
              <w:jc w:val="center"/>
              <w:rPr>
                <w:rFonts w:hint="eastAsia"/>
                <w:color w:val="000000"/>
              </w:rPr>
            </w:pPr>
            <w:r>
              <w:rPr>
                <w:color w:val="000000"/>
              </w:rPr>
              <w:t>技术支持资料</w:t>
            </w:r>
          </w:p>
        </w:tc>
        <w:tc>
          <w:tcPr>
            <w:tcW w:w="5962" w:type="dxa"/>
            <w:noWrap w:val="0"/>
            <w:tcMar>
              <w:left w:w="75" w:type="dxa"/>
            </w:tcMar>
            <w:vAlign w:val="center"/>
          </w:tcPr>
          <w:p w14:paraId="73693BC6">
            <w:pPr>
              <w:widowControl/>
              <w:rPr>
                <w:rFonts w:hint="eastAsia"/>
                <w:color w:val="000000"/>
                <w:kern w:val="0"/>
                <w:szCs w:val="21"/>
              </w:rPr>
            </w:pPr>
            <w:r>
              <w:rPr>
                <w:color w:val="000000"/>
              </w:rPr>
              <w:t>符合第二章</w:t>
            </w:r>
            <w:r>
              <w:rPr>
                <w:rFonts w:hint="eastAsia"/>
                <w:kern w:val="0"/>
                <w:szCs w:val="21"/>
              </w:rPr>
              <w:t>“投标人须知”</w:t>
            </w:r>
            <w:r>
              <w:rPr>
                <w:color w:val="000000"/>
              </w:rPr>
              <w:t>第1.1</w:t>
            </w:r>
            <w:r>
              <w:rPr>
                <w:rFonts w:hint="eastAsia"/>
                <w:color w:val="000000"/>
              </w:rPr>
              <w:t>1</w:t>
            </w:r>
            <w:r>
              <w:rPr>
                <w:color w:val="000000"/>
              </w:rPr>
              <w:t>.3项规定</w:t>
            </w:r>
          </w:p>
        </w:tc>
      </w:tr>
      <w:tr w14:paraId="6725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7BE67404">
            <w:pPr>
              <w:widowControl/>
              <w:spacing w:line="500" w:lineRule="exact"/>
              <w:jc w:val="left"/>
              <w:rPr>
                <w:kern w:val="0"/>
                <w:szCs w:val="21"/>
              </w:rPr>
            </w:pPr>
          </w:p>
        </w:tc>
        <w:tc>
          <w:tcPr>
            <w:tcW w:w="890" w:type="dxa"/>
            <w:vMerge w:val="continue"/>
            <w:noWrap w:val="0"/>
            <w:vAlign w:val="center"/>
          </w:tcPr>
          <w:p w14:paraId="16003119">
            <w:pPr>
              <w:widowControl/>
              <w:spacing w:line="500" w:lineRule="exact"/>
              <w:jc w:val="left"/>
              <w:rPr>
                <w:kern w:val="0"/>
                <w:szCs w:val="21"/>
              </w:rPr>
            </w:pPr>
          </w:p>
        </w:tc>
        <w:tc>
          <w:tcPr>
            <w:tcW w:w="1648" w:type="dxa"/>
            <w:noWrap w:val="0"/>
            <w:tcMar>
              <w:left w:w="75" w:type="dxa"/>
            </w:tcMar>
            <w:vAlign w:val="center"/>
          </w:tcPr>
          <w:p w14:paraId="14FB5036">
            <w:pPr>
              <w:widowControl/>
              <w:spacing w:line="500" w:lineRule="exact"/>
              <w:jc w:val="center"/>
              <w:rPr>
                <w:kern w:val="0"/>
                <w:szCs w:val="21"/>
              </w:rPr>
            </w:pPr>
            <w:r>
              <w:rPr>
                <w:kern w:val="0"/>
                <w:szCs w:val="21"/>
              </w:rPr>
              <w:t>其他实质性要求</w:t>
            </w:r>
          </w:p>
        </w:tc>
        <w:tc>
          <w:tcPr>
            <w:tcW w:w="5962" w:type="dxa"/>
            <w:noWrap w:val="0"/>
            <w:tcMar>
              <w:left w:w="75" w:type="dxa"/>
            </w:tcMar>
            <w:vAlign w:val="center"/>
          </w:tcPr>
          <w:p w14:paraId="6B0AE941">
            <w:pPr>
              <w:widowControl/>
              <w:spacing w:line="500" w:lineRule="exact"/>
              <w:jc w:val="left"/>
              <w:rPr>
                <w:kern w:val="0"/>
                <w:szCs w:val="21"/>
              </w:rPr>
            </w:pPr>
            <w:r>
              <w:rPr>
                <w:kern w:val="0"/>
                <w:szCs w:val="21"/>
              </w:rPr>
              <w:t>投标文件对招标文件的其他实质性要求和条件作出响应</w:t>
            </w:r>
          </w:p>
        </w:tc>
      </w:tr>
    </w:tbl>
    <w:p w14:paraId="76776853">
      <w:pPr>
        <w:keepNext/>
        <w:keepLines/>
        <w:spacing w:line="500" w:lineRule="exact"/>
        <w:jc w:val="center"/>
        <w:rPr>
          <w:rFonts w:eastAsia="黑体"/>
          <w:bCs/>
          <w:sz w:val="28"/>
          <w:szCs w:val="28"/>
        </w:rPr>
      </w:pPr>
    </w:p>
    <w:p w14:paraId="702FBC5B">
      <w:pPr>
        <w:keepNext/>
        <w:keepLines/>
        <w:spacing w:before="120" w:beforeLines="50" w:after="120" w:afterLines="50" w:line="500" w:lineRule="exact"/>
        <w:jc w:val="center"/>
        <w:outlineLvl w:val="2"/>
        <w:rPr>
          <w:rFonts w:eastAsia="黑体"/>
          <w:bCs/>
          <w:sz w:val="28"/>
          <w:szCs w:val="28"/>
        </w:rPr>
      </w:pPr>
      <w:r>
        <w:rPr>
          <w:rFonts w:eastAsia="黑体"/>
          <w:bCs/>
          <w:sz w:val="28"/>
          <w:szCs w:val="28"/>
        </w:rPr>
        <w:t>报价文件初步评审标准</w:t>
      </w:r>
    </w:p>
    <w:tbl>
      <w:tblPr>
        <w:tblStyle w:val="8"/>
        <w:tblW w:w="5008"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34"/>
        <w:gridCol w:w="921"/>
        <w:gridCol w:w="2162"/>
        <w:gridCol w:w="4718"/>
      </w:tblGrid>
      <w:tr w14:paraId="227DE3B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blHeader/>
          <w:jc w:val="center"/>
        </w:trPr>
        <w:tc>
          <w:tcPr>
            <w:tcW w:w="1565" w:type="dxa"/>
            <w:gridSpan w:val="2"/>
            <w:tcBorders>
              <w:top w:val="outset" w:color="auto" w:sz="6" w:space="0"/>
              <w:left w:val="outset" w:color="auto" w:sz="6" w:space="0"/>
              <w:bottom w:val="outset" w:color="auto" w:sz="6" w:space="0"/>
              <w:right w:val="single" w:color="auto" w:sz="4" w:space="0"/>
            </w:tcBorders>
            <w:noWrap w:val="0"/>
            <w:vAlign w:val="center"/>
          </w:tcPr>
          <w:p w14:paraId="65FA758A">
            <w:pPr>
              <w:widowControl/>
              <w:spacing w:line="500" w:lineRule="exact"/>
              <w:jc w:val="center"/>
              <w:rPr>
                <w:kern w:val="0"/>
                <w:szCs w:val="21"/>
              </w:rPr>
            </w:pPr>
            <w:r>
              <w:rPr>
                <w:b/>
                <w:bCs/>
                <w:kern w:val="0"/>
                <w:szCs w:val="21"/>
              </w:rPr>
              <w:t>条款号</w:t>
            </w:r>
          </w:p>
        </w:tc>
        <w:tc>
          <w:tcPr>
            <w:tcW w:w="2325" w:type="dxa"/>
            <w:tcBorders>
              <w:top w:val="outset" w:color="auto" w:sz="6" w:space="0"/>
              <w:left w:val="single" w:color="auto" w:sz="4" w:space="0"/>
              <w:bottom w:val="outset" w:color="auto" w:sz="6" w:space="0"/>
              <w:right w:val="single" w:color="auto" w:sz="4" w:space="0"/>
            </w:tcBorders>
            <w:noWrap w:val="0"/>
            <w:vAlign w:val="center"/>
          </w:tcPr>
          <w:p w14:paraId="1A24E69D">
            <w:pPr>
              <w:widowControl/>
              <w:spacing w:line="500" w:lineRule="exact"/>
              <w:ind w:firstLine="105" w:firstLineChars="50"/>
              <w:jc w:val="center"/>
              <w:rPr>
                <w:kern w:val="0"/>
                <w:szCs w:val="21"/>
              </w:rPr>
            </w:pPr>
            <w:r>
              <w:rPr>
                <w:b/>
                <w:bCs/>
                <w:kern w:val="0"/>
                <w:szCs w:val="21"/>
              </w:rPr>
              <w:t>评审因素</w:t>
            </w:r>
          </w:p>
        </w:tc>
        <w:tc>
          <w:tcPr>
            <w:tcW w:w="5085" w:type="dxa"/>
            <w:tcBorders>
              <w:top w:val="outset" w:color="auto" w:sz="6" w:space="0"/>
              <w:left w:val="single" w:color="auto" w:sz="4" w:space="0"/>
              <w:bottom w:val="outset" w:color="auto" w:sz="6" w:space="0"/>
              <w:right w:val="outset" w:color="auto" w:sz="6" w:space="0"/>
            </w:tcBorders>
            <w:noWrap w:val="0"/>
            <w:vAlign w:val="center"/>
          </w:tcPr>
          <w:p w14:paraId="0720A3AF">
            <w:pPr>
              <w:widowControl/>
              <w:spacing w:line="500" w:lineRule="exact"/>
              <w:ind w:firstLine="105" w:firstLineChars="50"/>
              <w:jc w:val="center"/>
              <w:rPr>
                <w:kern w:val="0"/>
                <w:szCs w:val="21"/>
              </w:rPr>
            </w:pPr>
            <w:r>
              <w:rPr>
                <w:b/>
                <w:bCs/>
                <w:kern w:val="0"/>
                <w:szCs w:val="21"/>
              </w:rPr>
              <w:t>评审标准</w:t>
            </w:r>
          </w:p>
        </w:tc>
      </w:tr>
      <w:tr w14:paraId="6F46C1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restart"/>
            <w:tcBorders>
              <w:top w:val="outset" w:color="auto" w:sz="6" w:space="0"/>
              <w:left w:val="outset" w:color="auto" w:sz="6" w:space="0"/>
              <w:bottom w:val="outset" w:color="auto" w:sz="6" w:space="0"/>
              <w:right w:val="outset" w:color="auto" w:sz="6" w:space="0"/>
            </w:tcBorders>
            <w:noWrap w:val="0"/>
            <w:vAlign w:val="center"/>
          </w:tcPr>
          <w:p w14:paraId="45845424">
            <w:pPr>
              <w:widowControl/>
              <w:spacing w:line="500" w:lineRule="exact"/>
              <w:jc w:val="center"/>
              <w:rPr>
                <w:kern w:val="0"/>
                <w:szCs w:val="21"/>
              </w:rPr>
            </w:pPr>
            <w:r>
              <w:rPr>
                <w:bCs/>
                <w:kern w:val="0"/>
                <w:szCs w:val="21"/>
              </w:rPr>
              <w:t>2.1.1</w:t>
            </w:r>
          </w:p>
        </w:tc>
        <w:tc>
          <w:tcPr>
            <w:tcW w:w="991" w:type="dxa"/>
            <w:vMerge w:val="restart"/>
            <w:tcBorders>
              <w:top w:val="outset" w:color="auto" w:sz="6" w:space="0"/>
              <w:left w:val="outset" w:color="auto" w:sz="6" w:space="0"/>
              <w:bottom w:val="outset" w:color="auto" w:sz="6" w:space="0"/>
              <w:right w:val="single" w:color="auto" w:sz="4" w:space="0"/>
            </w:tcBorders>
            <w:noWrap w:val="0"/>
            <w:vAlign w:val="center"/>
          </w:tcPr>
          <w:p w14:paraId="47072E8B">
            <w:pPr>
              <w:widowControl/>
              <w:spacing w:line="500" w:lineRule="exact"/>
              <w:jc w:val="center"/>
              <w:rPr>
                <w:kern w:val="0"/>
                <w:szCs w:val="21"/>
              </w:rPr>
            </w:pPr>
            <w:r>
              <w:rPr>
                <w:bCs/>
                <w:kern w:val="0"/>
                <w:szCs w:val="21"/>
              </w:rPr>
              <w:t>形式评审标准</w:t>
            </w: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26C89539">
            <w:pPr>
              <w:spacing w:line="500" w:lineRule="exact"/>
              <w:jc w:val="center"/>
              <w:rPr>
                <w:color w:val="000000"/>
              </w:rPr>
            </w:pPr>
            <w:r>
              <w:rPr>
                <w:color w:val="000000"/>
              </w:rPr>
              <w:t>投标人名称</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1FB4A7AF">
            <w:pPr>
              <w:spacing w:line="500" w:lineRule="exact"/>
              <w:rPr>
                <w:rFonts w:hint="eastAsia"/>
                <w:color w:val="000000"/>
              </w:rPr>
            </w:pPr>
            <w:r>
              <w:rPr>
                <w:color w:val="000000"/>
              </w:rPr>
              <w:t>与营业执照（事业单位法人证书）、资质证书一致</w:t>
            </w:r>
            <w:r>
              <w:rPr>
                <w:rFonts w:hint="eastAsia"/>
                <w:color w:val="000000"/>
              </w:rPr>
              <w:t>。</w:t>
            </w:r>
          </w:p>
          <w:p w14:paraId="0FBB54B6">
            <w:pPr>
              <w:spacing w:line="500" w:lineRule="exact"/>
              <w:rPr>
                <w:color w:val="000000"/>
              </w:rPr>
            </w:pPr>
            <w:r>
              <w:rPr>
                <w:color w:val="000000"/>
              </w:rPr>
              <w:t>名称变更的，应当提供证书颁发等单位提供的变更说明</w:t>
            </w:r>
          </w:p>
        </w:tc>
      </w:tr>
      <w:tr w14:paraId="79E2A5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14:paraId="7B09DC18">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14:paraId="4BE98564">
            <w:pPr>
              <w:widowControl/>
              <w:spacing w:line="500" w:lineRule="exact"/>
              <w:jc w:val="center"/>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711EDBEB">
            <w:pPr>
              <w:widowControl/>
              <w:spacing w:line="500" w:lineRule="exact"/>
              <w:jc w:val="center"/>
              <w:rPr>
                <w:kern w:val="0"/>
                <w:szCs w:val="21"/>
              </w:rPr>
            </w:pPr>
            <w:r>
              <w:t>投标文件格式</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1CB24E1C">
            <w:pPr>
              <w:widowControl/>
              <w:spacing w:line="500" w:lineRule="exact"/>
              <w:jc w:val="left"/>
              <w:rPr>
                <w:color w:val="000000"/>
                <w:kern w:val="0"/>
                <w:szCs w:val="21"/>
              </w:rPr>
            </w:pPr>
            <w:r>
              <w:rPr>
                <w:color w:val="000000"/>
                <w:kern w:val="0"/>
                <w:szCs w:val="21"/>
              </w:rPr>
              <w:t>符合第六章“投标文件格式”的规定，关键字迹清晰可辨</w:t>
            </w:r>
          </w:p>
        </w:tc>
      </w:tr>
      <w:tr w14:paraId="4B5EC99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14:paraId="1B883529">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14:paraId="0F4B26AB">
            <w:pPr>
              <w:widowControl/>
              <w:spacing w:line="500" w:lineRule="exact"/>
              <w:jc w:val="center"/>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03C0DE64">
            <w:pPr>
              <w:widowControl/>
              <w:spacing w:line="500" w:lineRule="exact"/>
              <w:jc w:val="center"/>
            </w:pPr>
            <w:r>
              <w:rPr>
                <w:kern w:val="0"/>
                <w:szCs w:val="21"/>
              </w:rPr>
              <w:t>备选投标方案</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442D7FD3">
            <w:pPr>
              <w:widowControl/>
              <w:spacing w:line="500" w:lineRule="exact"/>
              <w:jc w:val="left"/>
              <w:rPr>
                <w:color w:val="000000"/>
                <w:kern w:val="0"/>
                <w:szCs w:val="21"/>
              </w:rPr>
            </w:pPr>
            <w:r>
              <w:rPr>
                <w:kern w:val="0"/>
                <w:szCs w:val="21"/>
              </w:rPr>
              <w:t>除招标文件明确允许备选投标方案外，投标人不得提交备选投标方案</w:t>
            </w:r>
          </w:p>
        </w:tc>
      </w:tr>
      <w:tr w14:paraId="24F3F1C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14:paraId="4BB51E2D">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14:paraId="276D1B38">
            <w:pPr>
              <w:widowControl/>
              <w:spacing w:line="500" w:lineRule="exact"/>
              <w:jc w:val="center"/>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6ADF4712">
            <w:pPr>
              <w:widowControl/>
              <w:spacing w:line="500" w:lineRule="exact"/>
              <w:jc w:val="center"/>
              <w:rPr>
                <w:kern w:val="0"/>
                <w:szCs w:val="21"/>
              </w:rPr>
            </w:pPr>
            <w:r>
              <w:rPr>
                <w:kern w:val="0"/>
                <w:szCs w:val="21"/>
              </w:rPr>
              <w:t>签字盖章</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5F3B2F54">
            <w:pPr>
              <w:widowControl/>
              <w:spacing w:line="500" w:lineRule="exact"/>
              <w:jc w:val="left"/>
              <w:rPr>
                <w:color w:val="000000"/>
                <w:kern w:val="0"/>
                <w:szCs w:val="21"/>
              </w:rPr>
            </w:pPr>
            <w:r>
              <w:rPr>
                <w:color w:val="000000"/>
                <w:kern w:val="0"/>
                <w:szCs w:val="21"/>
              </w:rPr>
              <w:t>符合第六章“投标文件格式”的规定</w:t>
            </w:r>
          </w:p>
        </w:tc>
      </w:tr>
      <w:tr w14:paraId="7D1F909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restart"/>
            <w:tcBorders>
              <w:top w:val="single" w:color="auto" w:sz="4" w:space="0"/>
              <w:left w:val="outset" w:color="auto" w:sz="6" w:space="0"/>
              <w:bottom w:val="outset" w:color="auto" w:sz="6" w:space="0"/>
              <w:right w:val="outset" w:color="auto" w:sz="6" w:space="0"/>
            </w:tcBorders>
            <w:noWrap w:val="0"/>
            <w:vAlign w:val="center"/>
          </w:tcPr>
          <w:p w14:paraId="60A7FB0F">
            <w:pPr>
              <w:spacing w:line="500" w:lineRule="exact"/>
              <w:jc w:val="center"/>
              <w:rPr>
                <w:kern w:val="0"/>
                <w:szCs w:val="21"/>
              </w:rPr>
            </w:pPr>
            <w:r>
              <w:rPr>
                <w:bCs/>
                <w:kern w:val="0"/>
                <w:szCs w:val="21"/>
              </w:rPr>
              <w:t>2.1.2</w:t>
            </w:r>
          </w:p>
        </w:tc>
        <w:tc>
          <w:tcPr>
            <w:tcW w:w="991" w:type="dxa"/>
            <w:vMerge w:val="restart"/>
            <w:tcBorders>
              <w:top w:val="single" w:color="auto" w:sz="4" w:space="0"/>
              <w:left w:val="outset" w:color="auto" w:sz="6" w:space="0"/>
              <w:bottom w:val="outset" w:color="auto" w:sz="6" w:space="0"/>
              <w:right w:val="single" w:color="auto" w:sz="4" w:space="0"/>
            </w:tcBorders>
            <w:noWrap w:val="0"/>
            <w:vAlign w:val="center"/>
          </w:tcPr>
          <w:p w14:paraId="3D1685DD">
            <w:pPr>
              <w:spacing w:line="500" w:lineRule="exact"/>
              <w:jc w:val="center"/>
              <w:rPr>
                <w:kern w:val="0"/>
                <w:szCs w:val="21"/>
              </w:rPr>
            </w:pPr>
            <w:r>
              <w:rPr>
                <w:bCs/>
                <w:kern w:val="0"/>
                <w:szCs w:val="21"/>
              </w:rPr>
              <w:t>响应性评审标准</w:t>
            </w:r>
          </w:p>
        </w:tc>
        <w:tc>
          <w:tcPr>
            <w:tcW w:w="2325" w:type="dxa"/>
            <w:tcBorders>
              <w:top w:val="single" w:color="auto" w:sz="4" w:space="0"/>
              <w:left w:val="single" w:color="auto" w:sz="4" w:space="0"/>
              <w:bottom w:val="outset" w:color="auto" w:sz="6" w:space="0"/>
              <w:right w:val="outset" w:color="auto" w:sz="6" w:space="0"/>
            </w:tcBorders>
            <w:noWrap w:val="0"/>
            <w:tcMar>
              <w:left w:w="75" w:type="dxa"/>
            </w:tcMar>
            <w:vAlign w:val="center"/>
          </w:tcPr>
          <w:p w14:paraId="6099A0D9">
            <w:pPr>
              <w:widowControl/>
              <w:spacing w:line="500" w:lineRule="exact"/>
              <w:jc w:val="center"/>
              <w:rPr>
                <w:kern w:val="0"/>
                <w:szCs w:val="21"/>
              </w:rPr>
            </w:pPr>
            <w:r>
              <w:rPr>
                <w:kern w:val="0"/>
                <w:szCs w:val="21"/>
              </w:rPr>
              <w:t>投标内容</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44850C65">
            <w:pPr>
              <w:widowControl/>
              <w:spacing w:line="500" w:lineRule="exact"/>
              <w:jc w:val="left"/>
              <w:rPr>
                <w:kern w:val="0"/>
                <w:szCs w:val="21"/>
              </w:rPr>
            </w:pPr>
            <w:r>
              <w:rPr>
                <w:kern w:val="0"/>
                <w:szCs w:val="21"/>
              </w:rPr>
              <w:t>符合第二章“投标人须知”第1.3.1项规定</w:t>
            </w:r>
          </w:p>
        </w:tc>
      </w:tr>
      <w:tr w14:paraId="0928D7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single" w:color="auto" w:sz="4" w:space="0"/>
              <w:left w:val="outset" w:color="auto" w:sz="6" w:space="0"/>
              <w:bottom w:val="outset" w:color="auto" w:sz="6" w:space="0"/>
              <w:right w:val="outset" w:color="auto" w:sz="6" w:space="0"/>
            </w:tcBorders>
            <w:noWrap w:val="0"/>
            <w:vAlign w:val="center"/>
          </w:tcPr>
          <w:p w14:paraId="067A5151">
            <w:pPr>
              <w:spacing w:line="500" w:lineRule="exact"/>
              <w:jc w:val="center"/>
              <w:rPr>
                <w:bCs/>
                <w:kern w:val="0"/>
                <w:szCs w:val="21"/>
              </w:rPr>
            </w:pPr>
          </w:p>
        </w:tc>
        <w:tc>
          <w:tcPr>
            <w:tcW w:w="991" w:type="dxa"/>
            <w:vMerge w:val="continue"/>
            <w:tcBorders>
              <w:top w:val="single" w:color="auto" w:sz="4" w:space="0"/>
              <w:left w:val="outset" w:color="auto" w:sz="6" w:space="0"/>
              <w:bottom w:val="outset" w:color="auto" w:sz="6" w:space="0"/>
              <w:right w:val="single" w:color="auto" w:sz="4" w:space="0"/>
            </w:tcBorders>
            <w:noWrap w:val="0"/>
            <w:vAlign w:val="center"/>
          </w:tcPr>
          <w:p w14:paraId="18C5DC04">
            <w:pPr>
              <w:spacing w:line="500" w:lineRule="exact"/>
              <w:jc w:val="center"/>
              <w:rPr>
                <w:bCs/>
                <w:kern w:val="0"/>
                <w:szCs w:val="21"/>
              </w:rPr>
            </w:pPr>
          </w:p>
        </w:tc>
        <w:tc>
          <w:tcPr>
            <w:tcW w:w="2325" w:type="dxa"/>
            <w:tcBorders>
              <w:top w:val="single" w:color="auto" w:sz="4" w:space="0"/>
              <w:left w:val="single" w:color="auto" w:sz="4" w:space="0"/>
              <w:bottom w:val="outset" w:color="auto" w:sz="6" w:space="0"/>
              <w:right w:val="outset" w:color="auto" w:sz="6" w:space="0"/>
            </w:tcBorders>
            <w:noWrap w:val="0"/>
            <w:tcMar>
              <w:left w:w="75" w:type="dxa"/>
            </w:tcMar>
            <w:vAlign w:val="center"/>
          </w:tcPr>
          <w:p w14:paraId="4CAD5A63">
            <w:pPr>
              <w:spacing w:line="500" w:lineRule="exact"/>
              <w:jc w:val="center"/>
              <w:rPr>
                <w:color w:val="000000"/>
              </w:rPr>
            </w:pPr>
            <w:r>
              <w:rPr>
                <w:color w:val="000000"/>
              </w:rPr>
              <w:t>投标报价</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2C4DF992">
            <w:pPr>
              <w:widowControl/>
              <w:spacing w:line="500" w:lineRule="exact"/>
              <w:jc w:val="left"/>
              <w:rPr>
                <w:kern w:val="0"/>
                <w:szCs w:val="21"/>
              </w:rPr>
            </w:pPr>
            <w:r>
              <w:rPr>
                <w:kern w:val="0"/>
                <w:szCs w:val="21"/>
              </w:rPr>
              <w:t>符合第二章“投标人须知”第3.2款规定</w:t>
            </w:r>
          </w:p>
        </w:tc>
      </w:tr>
      <w:tr w14:paraId="1C8AB2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14:paraId="1788248D">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14:paraId="7ABD0427">
            <w:pPr>
              <w:widowControl/>
              <w:spacing w:line="500" w:lineRule="exact"/>
              <w:jc w:val="left"/>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54B4DB1C">
            <w:pPr>
              <w:widowControl/>
              <w:spacing w:line="500" w:lineRule="exact"/>
              <w:ind w:left="-57" w:leftChars="-27"/>
              <w:jc w:val="center"/>
              <w:rPr>
                <w:color w:val="000000"/>
                <w:kern w:val="0"/>
                <w:szCs w:val="21"/>
              </w:rPr>
            </w:pPr>
            <w:r>
              <w:rPr>
                <w:color w:val="000000"/>
                <w:kern w:val="0"/>
                <w:szCs w:val="21"/>
              </w:rPr>
              <w:t>其它情形</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60C2C194">
            <w:pPr>
              <w:widowControl/>
              <w:spacing w:line="500" w:lineRule="exact"/>
              <w:jc w:val="left"/>
              <w:rPr>
                <w:kern w:val="0"/>
                <w:szCs w:val="21"/>
              </w:rPr>
            </w:pPr>
            <w:r>
              <w:rPr>
                <w:kern w:val="0"/>
                <w:szCs w:val="21"/>
              </w:rPr>
              <w:t>投标文件中不得存在招标人不能接受的其它实质性条件</w:t>
            </w:r>
          </w:p>
        </w:tc>
      </w:tr>
    </w:tbl>
    <w:p w14:paraId="3BB15BEC">
      <w:pPr>
        <w:spacing w:line="500" w:lineRule="exact"/>
        <w:jc w:val="center"/>
        <w:rPr>
          <w:kern w:val="0"/>
          <w:szCs w:val="21"/>
        </w:rPr>
      </w:pPr>
    </w:p>
    <w:p w14:paraId="3FC450FA">
      <w:pPr>
        <w:keepNext/>
        <w:keepLines/>
        <w:spacing w:after="120" w:afterLines="50" w:line="500" w:lineRule="exact"/>
        <w:jc w:val="center"/>
        <w:outlineLvl w:val="2"/>
        <w:rPr>
          <w:rFonts w:eastAsia="黑体"/>
          <w:bCs/>
          <w:sz w:val="28"/>
          <w:szCs w:val="28"/>
        </w:rPr>
      </w:pPr>
      <w:r>
        <w:rPr>
          <w:rFonts w:eastAsia="黑体"/>
          <w:bCs/>
          <w:sz w:val="28"/>
          <w:szCs w:val="28"/>
        </w:rPr>
        <w:t>商务及技术文件详细评审标准</w:t>
      </w:r>
    </w:p>
    <w:tbl>
      <w:tblPr>
        <w:tblStyle w:val="8"/>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16"/>
        <w:gridCol w:w="1102"/>
        <w:gridCol w:w="6113"/>
        <w:gridCol w:w="691"/>
      </w:tblGrid>
      <w:tr w14:paraId="7984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32" w:type="dxa"/>
            <w:gridSpan w:val="2"/>
            <w:tcBorders>
              <w:top w:val="single" w:color="auto" w:sz="4" w:space="0"/>
              <w:left w:val="single" w:color="auto" w:sz="4" w:space="0"/>
              <w:bottom w:val="single" w:color="auto" w:sz="4" w:space="0"/>
              <w:right w:val="single" w:color="auto" w:sz="4" w:space="0"/>
            </w:tcBorders>
            <w:noWrap w:val="0"/>
            <w:vAlign w:val="center"/>
          </w:tcPr>
          <w:p w14:paraId="520A5956">
            <w:pPr>
              <w:spacing w:line="500" w:lineRule="exact"/>
              <w:jc w:val="center"/>
              <w:rPr>
                <w:b/>
                <w:bCs/>
                <w:szCs w:val="21"/>
              </w:rPr>
            </w:pPr>
            <w:r>
              <w:rPr>
                <w:rFonts w:hint="eastAsia"/>
                <w:b/>
                <w:bCs/>
                <w:szCs w:val="21"/>
                <w:lang w:val="en-US" w:eastAsia="zh-CN"/>
              </w:rPr>
              <w:t>条款号</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C279AA1">
            <w:pPr>
              <w:spacing w:line="500" w:lineRule="exact"/>
              <w:jc w:val="center"/>
              <w:rPr>
                <w:b/>
                <w:bCs/>
                <w:szCs w:val="21"/>
              </w:rPr>
            </w:pPr>
            <w:r>
              <w:rPr>
                <w:b/>
                <w:bCs/>
                <w:szCs w:val="21"/>
              </w:rPr>
              <w:t>评分</w:t>
            </w:r>
            <w:r>
              <w:rPr>
                <w:rFonts w:hint="eastAsia"/>
                <w:b/>
                <w:bCs/>
                <w:szCs w:val="21"/>
                <w:lang w:val="en-US" w:eastAsia="zh-CN"/>
              </w:rPr>
              <w:t>因素</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6AA6515E">
            <w:pPr>
              <w:spacing w:line="500" w:lineRule="exact"/>
              <w:jc w:val="center"/>
              <w:rPr>
                <w:b/>
                <w:bCs/>
                <w:szCs w:val="21"/>
              </w:rPr>
            </w:pPr>
            <w:r>
              <w:rPr>
                <w:b/>
                <w:bCs/>
                <w:szCs w:val="21"/>
              </w:rPr>
              <w:t>评分标准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08F65495">
            <w:pPr>
              <w:spacing w:line="500" w:lineRule="exact"/>
              <w:jc w:val="center"/>
              <w:rPr>
                <w:b/>
                <w:bCs/>
                <w:szCs w:val="21"/>
              </w:rPr>
            </w:pPr>
            <w:r>
              <w:rPr>
                <w:b/>
                <w:bCs/>
                <w:szCs w:val="21"/>
              </w:rPr>
              <w:t>分值</w:t>
            </w:r>
          </w:p>
          <w:p w14:paraId="17D3511D">
            <w:pPr>
              <w:spacing w:line="500" w:lineRule="exact"/>
              <w:jc w:val="center"/>
              <w:rPr>
                <w:b/>
                <w:bCs/>
                <w:szCs w:val="21"/>
              </w:rPr>
            </w:pPr>
            <w:r>
              <w:rPr>
                <w:b/>
                <w:bCs/>
                <w:szCs w:val="21"/>
              </w:rPr>
              <w:t>范围</w:t>
            </w:r>
          </w:p>
        </w:tc>
      </w:tr>
      <w:tr w14:paraId="3F5A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716" w:type="dxa"/>
            <w:vMerge w:val="restart"/>
            <w:tcBorders>
              <w:top w:val="single" w:color="auto" w:sz="4" w:space="0"/>
              <w:left w:val="single" w:color="auto" w:sz="4" w:space="0"/>
              <w:right w:val="single" w:color="auto" w:sz="4" w:space="0"/>
            </w:tcBorders>
            <w:noWrap w:val="0"/>
            <w:vAlign w:val="center"/>
          </w:tcPr>
          <w:p w14:paraId="0426B06E">
            <w:pPr>
              <w:spacing w:line="500" w:lineRule="exact"/>
              <w:jc w:val="center"/>
              <w:rPr>
                <w:b/>
                <w:bCs/>
                <w:szCs w:val="21"/>
              </w:rPr>
            </w:pPr>
            <w:r>
              <w:rPr>
                <w:rFonts w:hint="eastAsia"/>
                <w:b w:val="0"/>
                <w:bCs w:val="0"/>
                <w:szCs w:val="21"/>
                <w:lang w:val="en-US" w:eastAsia="zh-CN"/>
              </w:rPr>
              <w:t>2.2.3（1）</w:t>
            </w:r>
          </w:p>
        </w:tc>
        <w:tc>
          <w:tcPr>
            <w:tcW w:w="816" w:type="dxa"/>
            <w:vMerge w:val="restart"/>
            <w:tcBorders>
              <w:top w:val="single" w:color="auto" w:sz="4" w:space="0"/>
              <w:left w:val="single" w:color="auto" w:sz="4" w:space="0"/>
              <w:right w:val="single" w:color="auto" w:sz="4" w:space="0"/>
            </w:tcBorders>
            <w:noWrap w:val="0"/>
            <w:vAlign w:val="center"/>
          </w:tcPr>
          <w:p w14:paraId="2E208E3D">
            <w:pPr>
              <w:spacing w:line="500" w:lineRule="exact"/>
              <w:jc w:val="center"/>
              <w:rPr>
                <w:szCs w:val="21"/>
              </w:rPr>
            </w:pPr>
            <w:r>
              <w:rPr>
                <w:szCs w:val="21"/>
              </w:rPr>
              <w:t>商务评分标准</w:t>
            </w:r>
          </w:p>
        </w:tc>
        <w:tc>
          <w:tcPr>
            <w:tcW w:w="1102" w:type="dxa"/>
            <w:tcBorders>
              <w:top w:val="single" w:color="auto" w:sz="4" w:space="0"/>
              <w:left w:val="single" w:color="auto" w:sz="4" w:space="0"/>
              <w:right w:val="single" w:color="auto" w:sz="4" w:space="0"/>
            </w:tcBorders>
            <w:noWrap w:val="0"/>
            <w:vAlign w:val="center"/>
          </w:tcPr>
          <w:p w14:paraId="563DB7DF">
            <w:pPr>
              <w:spacing w:line="500" w:lineRule="exact"/>
              <w:jc w:val="center"/>
              <w:rPr>
                <w:szCs w:val="21"/>
              </w:rPr>
            </w:pPr>
            <w:r>
              <w:rPr>
                <w:szCs w:val="21"/>
              </w:rPr>
              <w:t>投标人资信、认证</w:t>
            </w:r>
          </w:p>
        </w:tc>
        <w:tc>
          <w:tcPr>
            <w:tcW w:w="6113" w:type="dxa"/>
            <w:tcBorders>
              <w:top w:val="single" w:color="auto" w:sz="4" w:space="0"/>
              <w:left w:val="single" w:color="auto" w:sz="4" w:space="0"/>
              <w:right w:val="single" w:color="auto" w:sz="4" w:space="0"/>
            </w:tcBorders>
            <w:noWrap w:val="0"/>
            <w:vAlign w:val="center"/>
          </w:tcPr>
          <w:p w14:paraId="1D695422">
            <w:pPr>
              <w:pStyle w:val="7"/>
              <w:spacing w:line="500" w:lineRule="exact"/>
              <w:ind w:firstLine="0" w:firstLineChars="0"/>
              <w:rPr>
                <w:rFonts w:ascii="Times New Roman" w:hAnsi="Times New Roman"/>
                <w:i w:val="0"/>
                <w:iCs/>
                <w:color w:val="auto"/>
                <w:sz w:val="21"/>
                <w:szCs w:val="21"/>
              </w:rPr>
            </w:pPr>
            <w:r>
              <w:rPr>
                <w:rFonts w:ascii="Times New Roman" w:hAnsi="Times New Roman"/>
                <w:i w:val="0"/>
                <w:iCs/>
                <w:color w:val="auto"/>
                <w:sz w:val="21"/>
                <w:szCs w:val="21"/>
              </w:rPr>
              <w:t>投标人具有经国家认证认可监督管理委员会认可的认证机构颁发的质量管理体系认证证书、环境管理体系认证证书、职业健康安全管理体系认证证书，每个得</w:t>
            </w:r>
            <w:r>
              <w:rPr>
                <w:rFonts w:hint="eastAsia" w:ascii="Times New Roman" w:hAnsi="Times New Roman"/>
                <w:i w:val="0"/>
                <w:iCs/>
                <w:color w:val="auto"/>
                <w:sz w:val="21"/>
                <w:szCs w:val="21"/>
                <w:lang w:val="en-US" w:eastAsia="zh-CN"/>
              </w:rPr>
              <w:t>3</w:t>
            </w:r>
            <w:r>
              <w:rPr>
                <w:rFonts w:ascii="Times New Roman" w:hAnsi="Times New Roman"/>
                <w:i w:val="0"/>
                <w:iCs/>
                <w:color w:val="auto"/>
                <w:sz w:val="21"/>
                <w:szCs w:val="21"/>
              </w:rPr>
              <w:t>分，满分</w:t>
            </w:r>
            <w:r>
              <w:rPr>
                <w:rFonts w:hint="eastAsia" w:ascii="Times New Roman" w:hAnsi="Times New Roman"/>
                <w:i w:val="0"/>
                <w:iCs/>
                <w:color w:val="auto"/>
                <w:sz w:val="21"/>
                <w:szCs w:val="21"/>
                <w:lang w:val="en-US" w:eastAsia="zh-CN"/>
              </w:rPr>
              <w:t>9</w:t>
            </w:r>
            <w:r>
              <w:rPr>
                <w:rFonts w:ascii="Times New Roman" w:hAnsi="Times New Roman"/>
                <w:i w:val="0"/>
                <w:iCs/>
                <w:color w:val="auto"/>
                <w:sz w:val="21"/>
                <w:szCs w:val="21"/>
              </w:rPr>
              <w:t>分。</w:t>
            </w:r>
          </w:p>
          <w:p w14:paraId="7531EE82">
            <w:pPr>
              <w:spacing w:line="500" w:lineRule="exact"/>
              <w:jc w:val="left"/>
              <w:rPr>
                <w:b/>
                <w:bCs/>
                <w:i/>
                <w:color w:val="FF0000"/>
                <w:szCs w:val="21"/>
              </w:rPr>
            </w:pPr>
            <w:r>
              <w:rPr>
                <w:b/>
                <w:bCs/>
                <w:i w:val="0"/>
                <w:iCs/>
                <w:color w:val="auto"/>
                <w:szCs w:val="21"/>
              </w:rPr>
              <w:t>注：投标文件中提供证书扫描件作为评审依据，证书中应能体现发证机构已获认监委认证或能体现该证书可在认监委网站查询，否则须同时在投标文件中提供在认监委网站对证书发证机构的查询截图作为评审依据。同一类认证证书仅记取一次分值。</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1C91E7E9">
            <w:pPr>
              <w:spacing w:line="500" w:lineRule="exact"/>
              <w:jc w:val="center"/>
              <w:rPr>
                <w:szCs w:val="21"/>
              </w:rPr>
            </w:pPr>
            <w:r>
              <w:rPr>
                <w:szCs w:val="21"/>
              </w:rPr>
              <w:t>≤</w:t>
            </w:r>
            <w:r>
              <w:rPr>
                <w:rFonts w:hint="eastAsia"/>
                <w:szCs w:val="21"/>
                <w:lang w:val="en-US" w:eastAsia="zh-CN"/>
              </w:rPr>
              <w:t>9</w:t>
            </w:r>
            <w:r>
              <w:rPr>
                <w:szCs w:val="21"/>
              </w:rPr>
              <w:t>分</w:t>
            </w:r>
          </w:p>
        </w:tc>
      </w:tr>
      <w:tr w14:paraId="1D93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6" w:type="dxa"/>
            <w:vMerge w:val="continue"/>
            <w:tcBorders>
              <w:left w:val="single" w:color="auto" w:sz="4" w:space="0"/>
              <w:right w:val="single" w:color="auto" w:sz="4" w:space="0"/>
            </w:tcBorders>
            <w:noWrap w:val="0"/>
            <w:vAlign w:val="center"/>
          </w:tcPr>
          <w:p w14:paraId="748EA23A">
            <w:pPr>
              <w:spacing w:line="500" w:lineRule="exact"/>
              <w:jc w:val="center"/>
              <w:rPr>
                <w:b/>
                <w:bCs/>
                <w:szCs w:val="21"/>
              </w:rPr>
            </w:pPr>
          </w:p>
        </w:tc>
        <w:tc>
          <w:tcPr>
            <w:tcW w:w="816" w:type="dxa"/>
            <w:vMerge w:val="continue"/>
            <w:tcBorders>
              <w:left w:val="single" w:color="auto" w:sz="4" w:space="0"/>
              <w:right w:val="single" w:color="auto" w:sz="4" w:space="0"/>
            </w:tcBorders>
            <w:noWrap w:val="0"/>
            <w:vAlign w:val="center"/>
          </w:tcPr>
          <w:p w14:paraId="5F31D4C7">
            <w:pPr>
              <w:spacing w:line="500" w:lineRule="exact"/>
              <w:jc w:val="center"/>
              <w:rPr>
                <w:b/>
                <w:bCs/>
                <w:szCs w:val="21"/>
              </w:rPr>
            </w:pPr>
          </w:p>
        </w:tc>
        <w:tc>
          <w:tcPr>
            <w:tcW w:w="1102" w:type="dxa"/>
            <w:tcBorders>
              <w:left w:val="single" w:color="auto" w:sz="4" w:space="0"/>
              <w:bottom w:val="single" w:color="auto" w:sz="4" w:space="0"/>
              <w:right w:val="single" w:color="auto" w:sz="4" w:space="0"/>
            </w:tcBorders>
            <w:noWrap w:val="0"/>
            <w:vAlign w:val="center"/>
          </w:tcPr>
          <w:p w14:paraId="569D0659">
            <w:pPr>
              <w:spacing w:line="500" w:lineRule="exact"/>
              <w:jc w:val="both"/>
              <w:rPr>
                <w:rFonts w:hint="default" w:eastAsia="宋体"/>
                <w:szCs w:val="21"/>
                <w:lang w:val="en-US" w:eastAsia="zh-CN"/>
              </w:rPr>
            </w:pPr>
            <w:r>
              <w:rPr>
                <w:rFonts w:hint="eastAsia"/>
                <w:szCs w:val="21"/>
                <w:lang w:val="en-US" w:eastAsia="zh-CN"/>
              </w:rPr>
              <w:t>投标人业绩</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64047632">
            <w:pPr>
              <w:pStyle w:val="7"/>
              <w:spacing w:line="360" w:lineRule="auto"/>
              <w:ind w:firstLine="0" w:firstLineChars="0"/>
              <w:rPr>
                <w:rFonts w:ascii="Times New Roman" w:hAnsi="Times New Roman"/>
                <w:b w:val="0"/>
                <w:bCs w:val="0"/>
                <w:i w:val="0"/>
                <w:iCs/>
                <w:color w:val="auto"/>
                <w:sz w:val="21"/>
                <w:szCs w:val="21"/>
              </w:rPr>
            </w:pPr>
            <w:r>
              <w:rPr>
                <w:rFonts w:ascii="Times New Roman" w:hAnsi="Times New Roman"/>
                <w:b w:val="0"/>
                <w:bCs w:val="0"/>
                <w:i w:val="0"/>
                <w:iCs/>
                <w:color w:val="auto"/>
                <w:sz w:val="21"/>
                <w:szCs w:val="21"/>
              </w:rPr>
              <w:t>自20</w:t>
            </w:r>
            <w:r>
              <w:rPr>
                <w:rFonts w:hint="eastAsia" w:ascii="Times New Roman" w:hAnsi="Times New Roman"/>
                <w:b w:val="0"/>
                <w:bCs w:val="0"/>
                <w:i w:val="0"/>
                <w:iCs/>
                <w:color w:val="auto"/>
                <w:sz w:val="21"/>
                <w:szCs w:val="21"/>
                <w:lang w:val="en-US" w:eastAsia="zh-CN"/>
              </w:rPr>
              <w:t>20</w:t>
            </w:r>
            <w:r>
              <w:rPr>
                <w:rFonts w:ascii="Times New Roman" w:hAnsi="Times New Roman"/>
                <w:b w:val="0"/>
                <w:bCs w:val="0"/>
                <w:i w:val="0"/>
                <w:iCs/>
                <w:color w:val="auto"/>
                <w:sz w:val="21"/>
                <w:szCs w:val="21"/>
              </w:rPr>
              <w:t>年</w:t>
            </w:r>
            <w:r>
              <w:rPr>
                <w:rFonts w:hint="eastAsia" w:ascii="Times New Roman" w:hAnsi="Times New Roman"/>
                <w:b w:val="0"/>
                <w:bCs w:val="0"/>
                <w:i w:val="0"/>
                <w:iCs/>
                <w:color w:val="auto"/>
                <w:sz w:val="21"/>
                <w:szCs w:val="21"/>
                <w:lang w:val="en-US" w:eastAsia="zh-CN"/>
              </w:rPr>
              <w:t>1</w:t>
            </w:r>
            <w:r>
              <w:rPr>
                <w:rFonts w:ascii="Times New Roman" w:hAnsi="Times New Roman"/>
                <w:b w:val="0"/>
                <w:bCs w:val="0"/>
                <w:i w:val="0"/>
                <w:iCs/>
                <w:color w:val="auto"/>
                <w:sz w:val="21"/>
                <w:szCs w:val="21"/>
              </w:rPr>
              <w:t>月</w:t>
            </w:r>
            <w:r>
              <w:rPr>
                <w:rFonts w:hint="eastAsia" w:ascii="Times New Roman" w:hAnsi="Times New Roman"/>
                <w:b w:val="0"/>
                <w:bCs w:val="0"/>
                <w:i w:val="0"/>
                <w:iCs/>
                <w:color w:val="auto"/>
                <w:sz w:val="21"/>
                <w:szCs w:val="21"/>
                <w:lang w:val="en-US" w:eastAsia="zh-CN"/>
              </w:rPr>
              <w:t>1</w:t>
            </w:r>
            <w:r>
              <w:rPr>
                <w:rFonts w:ascii="Times New Roman" w:hAnsi="Times New Roman"/>
                <w:b w:val="0"/>
                <w:bCs w:val="0"/>
                <w:i w:val="0"/>
                <w:iCs/>
                <w:color w:val="auto"/>
                <w:sz w:val="21"/>
                <w:szCs w:val="21"/>
              </w:rPr>
              <w:t>日以来（以合同签订时间为准），投标人具有</w:t>
            </w:r>
            <w:r>
              <w:rPr>
                <w:rFonts w:hint="eastAsia" w:ascii="Times New Roman" w:hAnsi="Times New Roman"/>
                <w:b w:val="0"/>
                <w:bCs w:val="0"/>
                <w:i w:val="0"/>
                <w:iCs/>
                <w:color w:val="auto"/>
                <w:sz w:val="21"/>
                <w:szCs w:val="21"/>
                <w:lang w:val="en-US" w:eastAsia="zh-CN"/>
              </w:rPr>
              <w:t>工作服</w:t>
            </w:r>
            <w:r>
              <w:rPr>
                <w:rFonts w:ascii="Times New Roman" w:hAnsi="Times New Roman"/>
                <w:b w:val="0"/>
                <w:bCs w:val="0"/>
                <w:i w:val="0"/>
                <w:iCs/>
                <w:color w:val="auto"/>
                <w:sz w:val="21"/>
                <w:szCs w:val="21"/>
              </w:rPr>
              <w:t>供货业绩，且单个合同不低于</w:t>
            </w:r>
            <w:r>
              <w:rPr>
                <w:rFonts w:hint="eastAsia" w:ascii="Times New Roman" w:hAnsi="Times New Roman"/>
                <w:b w:val="0"/>
                <w:bCs w:val="0"/>
                <w:i w:val="0"/>
                <w:iCs/>
                <w:color w:val="auto"/>
                <w:sz w:val="21"/>
                <w:szCs w:val="21"/>
                <w:lang w:val="en-US" w:eastAsia="zh-CN"/>
              </w:rPr>
              <w:t>10</w:t>
            </w:r>
            <w:r>
              <w:rPr>
                <w:rFonts w:ascii="Times New Roman" w:hAnsi="Times New Roman"/>
                <w:b w:val="0"/>
                <w:bCs w:val="0"/>
                <w:i w:val="0"/>
                <w:iCs/>
                <w:color w:val="auto"/>
                <w:sz w:val="21"/>
                <w:szCs w:val="21"/>
              </w:rPr>
              <w:t>万元的，每个得</w:t>
            </w:r>
            <w:r>
              <w:rPr>
                <w:rFonts w:hint="eastAsia" w:ascii="Times New Roman" w:hAnsi="Times New Roman"/>
                <w:b w:val="0"/>
                <w:bCs w:val="0"/>
                <w:i w:val="0"/>
                <w:iCs/>
                <w:color w:val="auto"/>
                <w:sz w:val="21"/>
                <w:szCs w:val="21"/>
                <w:lang w:val="en-US" w:eastAsia="zh-CN"/>
              </w:rPr>
              <w:t>4</w:t>
            </w:r>
            <w:r>
              <w:rPr>
                <w:rFonts w:ascii="Times New Roman" w:hAnsi="Times New Roman"/>
                <w:b w:val="0"/>
                <w:bCs w:val="0"/>
                <w:i w:val="0"/>
                <w:iCs/>
                <w:color w:val="auto"/>
                <w:sz w:val="21"/>
                <w:szCs w:val="21"/>
              </w:rPr>
              <w:t>分，满分</w:t>
            </w:r>
            <w:r>
              <w:rPr>
                <w:rFonts w:hint="eastAsia" w:ascii="Times New Roman" w:hAnsi="Times New Roman"/>
                <w:b w:val="0"/>
                <w:bCs w:val="0"/>
                <w:i w:val="0"/>
                <w:iCs/>
                <w:color w:val="auto"/>
                <w:sz w:val="21"/>
                <w:szCs w:val="21"/>
                <w:lang w:val="en-US" w:eastAsia="zh-CN"/>
              </w:rPr>
              <w:t>12</w:t>
            </w:r>
            <w:r>
              <w:rPr>
                <w:rFonts w:ascii="Times New Roman" w:hAnsi="Times New Roman"/>
                <w:b w:val="0"/>
                <w:bCs w:val="0"/>
                <w:i w:val="0"/>
                <w:iCs/>
                <w:color w:val="auto"/>
                <w:sz w:val="21"/>
                <w:szCs w:val="21"/>
              </w:rPr>
              <w:t>分</w:t>
            </w:r>
            <w:r>
              <w:rPr>
                <w:rFonts w:hint="eastAsia" w:ascii="Times New Roman" w:hAnsi="Times New Roman"/>
                <w:b w:val="0"/>
                <w:bCs w:val="0"/>
                <w:i w:val="0"/>
                <w:iCs/>
                <w:color w:val="auto"/>
                <w:sz w:val="21"/>
                <w:szCs w:val="21"/>
                <w:lang w:eastAsia="zh-CN"/>
              </w:rPr>
              <w:t>；</w:t>
            </w:r>
            <w:r>
              <w:rPr>
                <w:rFonts w:hint="eastAsia" w:ascii="Times New Roman" w:hAnsi="Times New Roman"/>
                <w:b w:val="0"/>
                <w:bCs w:val="0"/>
                <w:i w:val="0"/>
                <w:iCs/>
                <w:color w:val="auto"/>
                <w:sz w:val="21"/>
                <w:szCs w:val="21"/>
                <w:lang w:val="en-US" w:eastAsia="zh-CN"/>
              </w:rPr>
              <w:t>同一业主单位的业绩不重复计分。</w:t>
            </w:r>
          </w:p>
          <w:p w14:paraId="702320AF">
            <w:pPr>
              <w:pStyle w:val="7"/>
              <w:spacing w:line="360" w:lineRule="auto"/>
              <w:ind w:firstLine="0" w:firstLineChars="0"/>
              <w:rPr>
                <w:rFonts w:ascii="Times New Roman" w:hAnsi="Times New Roman"/>
                <w:b/>
                <w:bCs/>
                <w:i w:val="0"/>
                <w:iCs/>
                <w:color w:val="auto"/>
                <w:sz w:val="21"/>
                <w:szCs w:val="21"/>
              </w:rPr>
            </w:pPr>
            <w:r>
              <w:rPr>
                <w:rFonts w:ascii="Times New Roman" w:hAnsi="Times New Roman"/>
                <w:b/>
                <w:bCs/>
                <w:i w:val="0"/>
                <w:iCs/>
                <w:color w:val="auto"/>
                <w:sz w:val="21"/>
                <w:szCs w:val="21"/>
              </w:rPr>
              <w:t>注：1.投标人资格审查用业绩不参与评分；</w:t>
            </w:r>
          </w:p>
          <w:p w14:paraId="5FF9A86D">
            <w:pPr>
              <w:pStyle w:val="7"/>
              <w:spacing w:line="360" w:lineRule="auto"/>
              <w:ind w:firstLine="0" w:firstLineChars="0"/>
              <w:rPr>
                <w:rFonts w:ascii="Times New Roman" w:hAnsi="Times New Roman"/>
                <w:b/>
                <w:bCs/>
                <w:i w:val="0"/>
                <w:iCs/>
                <w:color w:val="auto"/>
                <w:sz w:val="21"/>
                <w:szCs w:val="21"/>
              </w:rPr>
            </w:pPr>
            <w:r>
              <w:rPr>
                <w:rFonts w:ascii="Times New Roman" w:hAnsi="Times New Roman"/>
                <w:b/>
                <w:bCs/>
                <w:i w:val="0"/>
                <w:iCs/>
                <w:color w:val="auto"/>
                <w:sz w:val="21"/>
                <w:szCs w:val="21"/>
              </w:rPr>
              <w:t>2.投标文件中提供符合投标人须知前附表附录</w:t>
            </w:r>
            <w:r>
              <w:rPr>
                <w:rFonts w:hint="eastAsia" w:ascii="Times New Roman" w:hAnsi="Times New Roman"/>
                <w:b/>
                <w:bCs/>
                <w:i w:val="0"/>
                <w:iCs/>
                <w:color w:val="auto"/>
                <w:sz w:val="21"/>
                <w:szCs w:val="21"/>
                <w:lang w:val="en-US" w:eastAsia="zh-CN"/>
              </w:rPr>
              <w:t>2</w:t>
            </w:r>
            <w:r>
              <w:rPr>
                <w:rFonts w:ascii="Times New Roman" w:hAnsi="Times New Roman"/>
                <w:b/>
                <w:bCs/>
                <w:i w:val="0"/>
                <w:iCs/>
                <w:color w:val="auto"/>
                <w:sz w:val="21"/>
                <w:szCs w:val="21"/>
              </w:rPr>
              <w:t>要求的业绩证明材料扫描件。</w:t>
            </w:r>
          </w:p>
          <w:p w14:paraId="5CA5814E">
            <w:pPr>
              <w:pStyle w:val="7"/>
              <w:spacing w:line="360" w:lineRule="auto"/>
              <w:ind w:firstLine="0" w:firstLineChars="0"/>
              <w:rPr>
                <w:rFonts w:ascii="Times New Roman" w:hAnsi="Times New Roman"/>
                <w:b w:val="0"/>
                <w:bCs w:val="0"/>
                <w:i/>
                <w:szCs w:val="21"/>
              </w:rPr>
            </w:pPr>
            <w:r>
              <w:rPr>
                <w:rFonts w:ascii="Times New Roman" w:hAnsi="Times New Roman"/>
                <w:b/>
                <w:bCs/>
                <w:i w:val="0"/>
                <w:iCs/>
                <w:color w:val="auto"/>
                <w:sz w:val="21"/>
                <w:szCs w:val="21"/>
              </w:rPr>
              <w:t>3.本招标项目投标人业绩（详细评审）数量：3个。</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11ACD38D">
            <w:pPr>
              <w:pStyle w:val="7"/>
              <w:spacing w:line="500" w:lineRule="exact"/>
              <w:ind w:firstLine="0" w:firstLineChars="0"/>
              <w:rPr>
                <w:rFonts w:ascii="Times New Roman" w:hAnsi="Times New Roman"/>
                <w:b w:val="0"/>
                <w:bCs w:val="0"/>
                <w:i/>
                <w:szCs w:val="21"/>
              </w:rPr>
            </w:pPr>
            <w:r>
              <w:rPr>
                <w:sz w:val="21"/>
                <w:szCs w:val="21"/>
              </w:rPr>
              <w:t>≤</w:t>
            </w:r>
            <w:r>
              <w:rPr>
                <w:rFonts w:hint="eastAsia" w:ascii="Times New Roman" w:hAnsi="Times New Roman"/>
                <w:b w:val="0"/>
                <w:bCs w:val="0"/>
                <w:i w:val="0"/>
                <w:iCs/>
                <w:color w:val="auto"/>
                <w:sz w:val="21"/>
                <w:szCs w:val="21"/>
                <w:lang w:val="en-US" w:eastAsia="zh-CN"/>
              </w:rPr>
              <w:t>12</w:t>
            </w:r>
            <w:r>
              <w:rPr>
                <w:rFonts w:hint="eastAsia" w:ascii="Times New Roman" w:hAnsi="Times New Roman"/>
                <w:b w:val="0"/>
                <w:bCs w:val="0"/>
                <w:i w:val="0"/>
                <w:iCs/>
                <w:color w:val="auto"/>
                <w:sz w:val="21"/>
                <w:szCs w:val="21"/>
              </w:rPr>
              <w:t>分</w:t>
            </w:r>
          </w:p>
        </w:tc>
      </w:tr>
      <w:tr w14:paraId="576A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716" w:type="dxa"/>
            <w:vMerge w:val="continue"/>
            <w:tcBorders>
              <w:left w:val="single" w:color="auto" w:sz="4" w:space="0"/>
              <w:right w:val="single" w:color="auto" w:sz="4" w:space="0"/>
            </w:tcBorders>
            <w:noWrap w:val="0"/>
            <w:vAlign w:val="center"/>
          </w:tcPr>
          <w:p w14:paraId="4A678154">
            <w:pPr>
              <w:spacing w:line="500" w:lineRule="exact"/>
              <w:jc w:val="center"/>
              <w:rPr>
                <w:b/>
                <w:bCs/>
                <w:szCs w:val="21"/>
              </w:rPr>
            </w:pPr>
          </w:p>
        </w:tc>
        <w:tc>
          <w:tcPr>
            <w:tcW w:w="816" w:type="dxa"/>
            <w:vMerge w:val="continue"/>
            <w:tcBorders>
              <w:left w:val="single" w:color="auto" w:sz="4" w:space="0"/>
              <w:right w:val="single" w:color="auto" w:sz="4" w:space="0"/>
            </w:tcBorders>
            <w:noWrap w:val="0"/>
            <w:vAlign w:val="center"/>
          </w:tcPr>
          <w:p w14:paraId="4EDA979F">
            <w:pPr>
              <w:spacing w:line="500" w:lineRule="exact"/>
              <w:jc w:val="center"/>
              <w:rPr>
                <w:b/>
                <w:bCs/>
                <w:szCs w:val="21"/>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5CDE9B5">
            <w:pPr>
              <w:spacing w:line="500" w:lineRule="exact"/>
              <w:jc w:val="center"/>
              <w:rPr>
                <w:rFonts w:hint="default" w:eastAsia="宋体"/>
                <w:szCs w:val="21"/>
                <w:lang w:val="en-US" w:eastAsia="zh-CN"/>
              </w:rPr>
            </w:pPr>
            <w:r>
              <w:rPr>
                <w:szCs w:val="21"/>
              </w:rPr>
              <w:t>投标人</w:t>
            </w:r>
            <w:r>
              <w:rPr>
                <w:rFonts w:hint="eastAsia"/>
                <w:szCs w:val="21"/>
                <w:lang w:val="en-US" w:eastAsia="zh-CN"/>
              </w:rPr>
              <w:t>荣誉及相关证书</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757843C0">
            <w:pPr>
              <w:numPr>
                <w:ilvl w:val="0"/>
                <w:numId w:val="2"/>
              </w:numPr>
              <w:spacing w:line="500" w:lineRule="exact"/>
              <w:jc w:val="left"/>
              <w:rPr>
                <w:rFonts w:hint="eastAsia"/>
                <w:szCs w:val="21"/>
                <w:lang w:val="en-US" w:eastAsia="zh-CN"/>
              </w:rPr>
            </w:pPr>
            <w:r>
              <w:rPr>
                <w:rFonts w:hint="eastAsia"/>
                <w:szCs w:val="21"/>
                <w:lang w:val="en-US" w:eastAsia="zh-CN"/>
              </w:rPr>
              <w:t>投标人具有政府部门颁发的职业装类相关奖项、荣誉证书的，提供一个得2分，满分2分</w:t>
            </w:r>
          </w:p>
          <w:p w14:paraId="735B990E">
            <w:pPr>
              <w:spacing w:line="500" w:lineRule="exact"/>
            </w:pPr>
            <w:r>
              <w:rPr>
                <w:b/>
                <w:szCs w:val="21"/>
              </w:rPr>
              <w:t>注：</w:t>
            </w:r>
            <w:r>
              <w:rPr>
                <w:rFonts w:hint="eastAsia"/>
                <w:b/>
                <w:szCs w:val="21"/>
                <w:lang w:val="en-US" w:eastAsia="zh-CN"/>
              </w:rPr>
              <w:t>（1）</w:t>
            </w:r>
            <w:r>
              <w:rPr>
                <w:b/>
                <w:bCs/>
              </w:rPr>
              <w:t>时间以颁奖时间为准，如多次获奖仅计分一次并以最高表彰计</w:t>
            </w:r>
            <w:r>
              <w:rPr>
                <w:rFonts w:hint="eastAsia"/>
                <w:b/>
                <w:bCs/>
                <w:lang w:eastAsia="zh-CN"/>
              </w:rPr>
              <w:t>；</w:t>
            </w:r>
            <w:r>
              <w:rPr>
                <w:rFonts w:hint="eastAsia" w:ascii="宋体" w:hAnsi="宋体" w:eastAsia="宋体" w:cs="宋体"/>
                <w:b/>
                <w:bCs/>
                <w:sz w:val="21"/>
                <w:szCs w:val="21"/>
              </w:rPr>
              <w:t>投标文件中提供荣誉证书、批复、颁奖单位颁奖文件、网上公示截图(具有其中之一即可)等有效证明材料的扫描件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否则不予认可。</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1A67F28C">
            <w:pPr>
              <w:spacing w:line="500" w:lineRule="exact"/>
              <w:jc w:val="center"/>
              <w:rPr>
                <w:szCs w:val="21"/>
              </w:rPr>
            </w:pPr>
            <w:r>
              <w:rPr>
                <w:szCs w:val="21"/>
              </w:rPr>
              <w:t>≤</w:t>
            </w:r>
            <w:r>
              <w:rPr>
                <w:rFonts w:hint="eastAsia"/>
                <w:szCs w:val="21"/>
                <w:lang w:val="en-US" w:eastAsia="zh-CN"/>
              </w:rPr>
              <w:t>2</w:t>
            </w:r>
            <w:r>
              <w:rPr>
                <w:szCs w:val="21"/>
              </w:rPr>
              <w:t>分</w:t>
            </w:r>
          </w:p>
        </w:tc>
      </w:tr>
      <w:tr w14:paraId="0BE7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16" w:type="dxa"/>
            <w:vMerge w:val="continue"/>
            <w:tcBorders>
              <w:left w:val="single" w:color="auto" w:sz="4" w:space="0"/>
              <w:right w:val="single" w:color="auto" w:sz="4" w:space="0"/>
            </w:tcBorders>
            <w:noWrap w:val="0"/>
            <w:vAlign w:val="center"/>
          </w:tcPr>
          <w:p w14:paraId="67994E97">
            <w:pPr>
              <w:spacing w:line="500" w:lineRule="exact"/>
              <w:jc w:val="center"/>
              <w:rPr>
                <w:b/>
                <w:bCs/>
                <w:szCs w:val="21"/>
              </w:rPr>
            </w:pPr>
          </w:p>
        </w:tc>
        <w:tc>
          <w:tcPr>
            <w:tcW w:w="816" w:type="dxa"/>
            <w:vMerge w:val="continue"/>
            <w:tcBorders>
              <w:left w:val="single" w:color="auto" w:sz="4" w:space="0"/>
              <w:right w:val="single" w:color="auto" w:sz="4" w:space="0"/>
            </w:tcBorders>
            <w:noWrap w:val="0"/>
            <w:vAlign w:val="center"/>
          </w:tcPr>
          <w:p w14:paraId="7548A275">
            <w:pPr>
              <w:spacing w:line="500" w:lineRule="exact"/>
              <w:jc w:val="center"/>
              <w:rPr>
                <w:b/>
                <w:bCs/>
                <w:szCs w:val="21"/>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43AF2703">
            <w:pPr>
              <w:spacing w:line="500" w:lineRule="exact"/>
              <w:jc w:val="center"/>
              <w:rPr>
                <w:szCs w:val="21"/>
              </w:rPr>
            </w:pPr>
            <w:r>
              <w:rPr>
                <w:rFonts w:hint="eastAsia" w:ascii="Times New Roman" w:hAnsi="Times New Roman" w:eastAsia="宋体" w:cs="Times New Roman"/>
                <w:szCs w:val="21"/>
                <w:lang w:val="en-US" w:eastAsia="zh-CN"/>
              </w:rPr>
              <w:t>供货时间承诺</w:t>
            </w:r>
          </w:p>
        </w:tc>
        <w:tc>
          <w:tcPr>
            <w:tcW w:w="6113" w:type="dxa"/>
            <w:tcBorders>
              <w:top w:val="single" w:color="auto" w:sz="4" w:space="0"/>
              <w:left w:val="single" w:color="auto" w:sz="4" w:space="0"/>
              <w:bottom w:val="single" w:color="auto" w:sz="4" w:space="0"/>
              <w:right w:val="single" w:color="auto" w:sz="4" w:space="0"/>
            </w:tcBorders>
            <w:noWrap w:val="0"/>
            <w:vAlign w:val="top"/>
          </w:tcPr>
          <w:p w14:paraId="187C7F01">
            <w:pPr>
              <w:spacing w:line="500" w:lineRule="exact"/>
              <w:jc w:val="both"/>
              <w:rPr>
                <w:spacing w:val="-6"/>
              </w:rPr>
            </w:pPr>
            <w:r>
              <w:rPr>
                <w:rFonts w:hint="eastAsia" w:ascii="Times New Roman" w:hAnsi="Times New Roman" w:eastAsia="宋体" w:cs="Times New Roman"/>
                <w:szCs w:val="21"/>
                <w:lang w:eastAsia="zh-CN"/>
              </w:rPr>
              <w:t>投标人对供货时限进行承诺，可以满足招标文件要求</w:t>
            </w:r>
            <w:r>
              <w:rPr>
                <w:rFonts w:hint="eastAsia" w:ascii="Times New Roman" w:hAnsi="Times New Roman" w:eastAsia="宋体" w:cs="Times New Roman"/>
                <w:szCs w:val="21"/>
                <w:lang w:val="en-US" w:eastAsia="zh-CN"/>
              </w:rPr>
              <w:t>交货周期10个工作日内，</w:t>
            </w:r>
            <w:r>
              <w:rPr>
                <w:spacing w:val="-2"/>
              </w:rPr>
              <w:t>提供承</w:t>
            </w:r>
            <w:r>
              <w:rPr>
                <w:spacing w:val="-6"/>
              </w:rPr>
              <w:t>诺的，得</w:t>
            </w:r>
            <w:r>
              <w:rPr>
                <w:rFonts w:hint="eastAsia"/>
                <w:spacing w:val="-41"/>
                <w:lang w:val="en-US" w:eastAsia="zh-CN"/>
              </w:rPr>
              <w:t>9</w:t>
            </w:r>
            <w:r>
              <w:rPr>
                <w:spacing w:val="-6"/>
              </w:rPr>
              <w:t>分。</w:t>
            </w:r>
          </w:p>
          <w:p w14:paraId="0AB12FF4">
            <w:pPr>
              <w:spacing w:line="500" w:lineRule="exact"/>
              <w:jc w:val="both"/>
              <w:rPr>
                <w:rFonts w:hint="eastAsia" w:ascii="Times New Roman" w:hAnsi="Times New Roman" w:eastAsia="宋体" w:cs="Times New Roman"/>
                <w:b/>
                <w:bCs/>
                <w:szCs w:val="21"/>
              </w:rPr>
            </w:pPr>
            <w:r>
              <w:rPr>
                <w:rFonts w:hint="eastAsia" w:ascii="Times New Roman" w:hAnsi="Times New Roman" w:eastAsia="宋体" w:cs="Times New Roman"/>
                <w:b/>
                <w:bCs/>
                <w:szCs w:val="21"/>
              </w:rPr>
              <w:t>注：1.投标文件中提供承诺函。承诺函形式：“我单位已充分考虑工作服制作风险，现承诺，</w:t>
            </w:r>
            <w:r>
              <w:rPr>
                <w:rFonts w:hint="eastAsia" w:ascii="Times New Roman" w:hAnsi="Times New Roman" w:eastAsia="宋体" w:cs="Times New Roman"/>
                <w:b/>
                <w:bCs/>
                <w:szCs w:val="21"/>
                <w:lang w:val="en-US" w:eastAsia="zh-CN"/>
              </w:rPr>
              <w:t>在</w:t>
            </w:r>
            <w:r>
              <w:rPr>
                <w:rFonts w:hint="eastAsia" w:ascii="Times New Roman" w:hAnsi="Times New Roman" w:eastAsia="宋体" w:cs="Times New Roman"/>
                <w:b/>
                <w:bCs/>
                <w:szCs w:val="21"/>
              </w:rPr>
              <w:t>合同签订后</w:t>
            </w:r>
            <w:r>
              <w:rPr>
                <w:rFonts w:hint="eastAsia" w:ascii="Times New Roman" w:hAnsi="Times New Roman" w:eastAsia="宋体" w:cs="Times New Roman"/>
                <w:b/>
                <w:bCs/>
                <w:szCs w:val="21"/>
                <w:lang w:eastAsia="zh-CN"/>
              </w:rPr>
              <w:t>，</w:t>
            </w:r>
            <w:r>
              <w:rPr>
                <w:rFonts w:hint="eastAsia" w:ascii="Times New Roman" w:hAnsi="Times New Roman" w:eastAsia="宋体" w:cs="Times New Roman"/>
                <w:b/>
                <w:bCs/>
                <w:szCs w:val="21"/>
                <w:lang w:val="en-US" w:eastAsia="zh-CN"/>
              </w:rPr>
              <w:t>甲方有采购需求时，</w:t>
            </w:r>
            <w:r>
              <w:rPr>
                <w:rFonts w:hint="eastAsia" w:ascii="Times New Roman" w:hAnsi="Times New Roman" w:eastAsia="宋体" w:cs="Times New Roman"/>
                <w:b/>
                <w:bCs/>
                <w:szCs w:val="21"/>
              </w:rPr>
              <w:t>接到甲方通知</w:t>
            </w:r>
            <w:r>
              <w:rPr>
                <w:rFonts w:hint="eastAsia" w:ascii="Times New Roman" w:hAnsi="Times New Roman" w:eastAsia="宋体" w:cs="Times New Roman"/>
                <w:b/>
                <w:bCs/>
                <w:szCs w:val="21"/>
                <w:lang w:val="en-US" w:eastAsia="zh-CN"/>
              </w:rPr>
              <w:t>10个工作日</w:t>
            </w:r>
            <w:r>
              <w:rPr>
                <w:rFonts w:hint="eastAsia" w:ascii="Times New Roman" w:hAnsi="Times New Roman" w:eastAsia="宋体" w:cs="Times New Roman"/>
                <w:b/>
                <w:bCs/>
                <w:szCs w:val="21"/>
              </w:rPr>
              <w:t>内须完成服装生产并完成</w:t>
            </w:r>
            <w:r>
              <w:rPr>
                <w:rFonts w:hint="eastAsia" w:ascii="Times New Roman" w:hAnsi="Times New Roman" w:eastAsia="宋体" w:cs="Times New Roman"/>
                <w:b/>
                <w:bCs/>
                <w:szCs w:val="21"/>
                <w:lang w:val="en-US" w:eastAsia="zh-CN"/>
              </w:rPr>
              <w:t>本批</w:t>
            </w:r>
            <w:r>
              <w:rPr>
                <w:rFonts w:hint="eastAsia" w:ascii="Times New Roman" w:hAnsi="Times New Roman" w:eastAsia="宋体" w:cs="Times New Roman"/>
                <w:b/>
                <w:bCs/>
                <w:szCs w:val="21"/>
              </w:rPr>
              <w:t>货物送至招标人指定地点（以送至招标人指定场所日期为准），若未按承诺履行，或者超过承诺期限未完成送货</w:t>
            </w:r>
            <w:r>
              <w:rPr>
                <w:rFonts w:hint="eastAsia" w:ascii="Times New Roman" w:hAnsi="Times New Roman" w:eastAsia="宋体" w:cs="Times New Roman"/>
                <w:b/>
                <w:bCs/>
                <w:szCs w:val="21"/>
                <w:lang w:eastAsia="zh-CN"/>
              </w:rPr>
              <w:t>，</w:t>
            </w:r>
            <w:r>
              <w:rPr>
                <w:rFonts w:hint="eastAsia" w:ascii="Times New Roman" w:hAnsi="Times New Roman" w:eastAsia="宋体" w:cs="Times New Roman"/>
                <w:b/>
                <w:bCs/>
                <w:szCs w:val="21"/>
              </w:rPr>
              <w:t>自愿解除合同（若未签合同视为我单位自动放弃中标资格，停止签合同），招标人有权拒收所有货物，不予支付货款，所有履约保证金不予退还（追偿），所有产生的后果由本单位自行承担。” 格式自拟。</w:t>
            </w:r>
          </w:p>
          <w:p w14:paraId="6583D840">
            <w:pPr>
              <w:spacing w:line="500" w:lineRule="exact"/>
              <w:jc w:val="both"/>
              <w:rPr>
                <w:b/>
                <w:szCs w:val="21"/>
              </w:rPr>
            </w:pPr>
            <w:r>
              <w:rPr>
                <w:rFonts w:hint="eastAsia" w:ascii="Times New Roman" w:hAnsi="Times New Roman" w:eastAsia="宋体" w:cs="Times New Roman"/>
                <w:b/>
                <w:bCs/>
                <w:szCs w:val="21"/>
              </w:rPr>
              <w:t>2.不承诺或承诺时间不满足的，本项不得分。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39F48E2A">
            <w:pPr>
              <w:spacing w:line="500" w:lineRule="exact"/>
              <w:jc w:val="center"/>
              <w:rPr>
                <w:szCs w:val="21"/>
              </w:rPr>
            </w:pPr>
            <w:r>
              <w:rPr>
                <w:szCs w:val="21"/>
              </w:rPr>
              <w:t>≤</w:t>
            </w:r>
            <w:r>
              <w:rPr>
                <w:rFonts w:hint="eastAsia"/>
                <w:szCs w:val="21"/>
                <w:lang w:val="en-US" w:eastAsia="zh-CN"/>
              </w:rPr>
              <w:t>9</w:t>
            </w:r>
            <w:r>
              <w:rPr>
                <w:szCs w:val="21"/>
              </w:rPr>
              <w:t>分</w:t>
            </w:r>
          </w:p>
        </w:tc>
      </w:tr>
      <w:tr w14:paraId="21E6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6" w:type="dxa"/>
            <w:vMerge w:val="restart"/>
            <w:tcBorders>
              <w:top w:val="single" w:color="auto" w:sz="4" w:space="0"/>
              <w:left w:val="single" w:color="auto" w:sz="4" w:space="0"/>
              <w:right w:val="single" w:color="auto" w:sz="4" w:space="0"/>
            </w:tcBorders>
            <w:noWrap w:val="0"/>
            <w:vAlign w:val="center"/>
          </w:tcPr>
          <w:p w14:paraId="1E4DA2F0">
            <w:pPr>
              <w:spacing w:line="500" w:lineRule="exact"/>
              <w:jc w:val="center"/>
              <w:rPr>
                <w:b/>
                <w:bCs/>
                <w:szCs w:val="21"/>
              </w:rPr>
            </w:pPr>
            <w:r>
              <w:rPr>
                <w:rFonts w:hint="eastAsia"/>
                <w:b w:val="0"/>
                <w:bCs w:val="0"/>
                <w:szCs w:val="21"/>
                <w:lang w:val="en-US" w:eastAsia="zh-CN"/>
              </w:rPr>
              <w:t>2.2.3（2）</w:t>
            </w:r>
          </w:p>
        </w:tc>
        <w:tc>
          <w:tcPr>
            <w:tcW w:w="816" w:type="dxa"/>
            <w:vMerge w:val="restart"/>
            <w:tcBorders>
              <w:top w:val="single" w:color="auto" w:sz="4" w:space="0"/>
              <w:left w:val="single" w:color="auto" w:sz="4" w:space="0"/>
              <w:right w:val="single" w:color="auto" w:sz="4" w:space="0"/>
            </w:tcBorders>
            <w:noWrap w:val="0"/>
            <w:vAlign w:val="center"/>
          </w:tcPr>
          <w:p w14:paraId="72D31B4A">
            <w:pPr>
              <w:spacing w:line="500" w:lineRule="exact"/>
              <w:jc w:val="center"/>
              <w:rPr>
                <w:szCs w:val="21"/>
              </w:rPr>
            </w:pPr>
            <w:r>
              <w:rPr>
                <w:szCs w:val="21"/>
              </w:rPr>
              <w:t>技术评分标准</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D51D6E2">
            <w:pPr>
              <w:spacing w:line="500" w:lineRule="exact"/>
              <w:jc w:val="center"/>
              <w:rPr>
                <w:szCs w:val="21"/>
              </w:rPr>
            </w:pPr>
            <w:r>
              <w:rPr>
                <w:rFonts w:hint="eastAsia"/>
                <w:szCs w:val="21"/>
                <w:lang w:val="en-US" w:eastAsia="zh-CN"/>
              </w:rPr>
              <w:t>企业实力</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2D44CD92">
            <w:pPr>
              <w:spacing w:line="500" w:lineRule="exact"/>
              <w:jc w:val="left"/>
              <w:rPr>
                <w:rFonts w:hint="eastAsia"/>
                <w:b w:val="0"/>
                <w:bCs/>
                <w:szCs w:val="21"/>
              </w:rPr>
            </w:pPr>
            <w:r>
              <w:rPr>
                <w:rFonts w:hint="eastAsia"/>
                <w:b w:val="0"/>
                <w:bCs/>
                <w:szCs w:val="21"/>
              </w:rPr>
              <w:t>根据投标人的企业规模（包括在职人员数量、业务范围相关服务设备等说明文件</w:t>
            </w:r>
            <w:r>
              <w:rPr>
                <w:rFonts w:hint="eastAsia"/>
                <w:b w:val="0"/>
                <w:bCs/>
                <w:szCs w:val="21"/>
                <w:lang w:eastAsia="zh-CN"/>
              </w:rPr>
              <w:t>）、</w:t>
            </w:r>
            <w:r>
              <w:rPr>
                <w:rFonts w:hint="eastAsia"/>
                <w:b w:val="0"/>
                <w:bCs/>
                <w:szCs w:val="21"/>
              </w:rPr>
              <w:t>品牌形象、技术力量、商业信誉、履约能力、获奖情况等因素进行综合评审：</w:t>
            </w:r>
          </w:p>
          <w:p w14:paraId="2728D841">
            <w:pPr>
              <w:spacing w:line="500" w:lineRule="exact"/>
              <w:jc w:val="left"/>
              <w:rPr>
                <w:b/>
                <w:szCs w:val="21"/>
              </w:rPr>
            </w:pPr>
            <w:r>
              <w:rPr>
                <w:rFonts w:hint="eastAsia"/>
                <w:b w:val="0"/>
                <w:bCs/>
                <w:szCs w:val="21"/>
                <w:lang w:val="en-US" w:eastAsia="zh-CN"/>
              </w:rPr>
              <w:t>优秀的，得6＜F≤9分； 良好的，得 3＜F≤6 分； 一般的，得 0＜F≤3分；未提供不得分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2018D1B9">
            <w:pPr>
              <w:spacing w:line="500" w:lineRule="exact"/>
              <w:jc w:val="center"/>
              <w:rPr>
                <w:szCs w:val="21"/>
              </w:rPr>
            </w:pPr>
            <w:r>
              <w:rPr>
                <w:szCs w:val="21"/>
              </w:rPr>
              <w:t>≤</w:t>
            </w:r>
            <w:r>
              <w:rPr>
                <w:rFonts w:hint="eastAsia"/>
                <w:szCs w:val="21"/>
                <w:lang w:val="en-US" w:eastAsia="zh-CN"/>
              </w:rPr>
              <w:t>12</w:t>
            </w:r>
            <w:r>
              <w:rPr>
                <w:szCs w:val="21"/>
              </w:rPr>
              <w:t>分</w:t>
            </w:r>
          </w:p>
        </w:tc>
      </w:tr>
      <w:tr w14:paraId="05E3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6" w:type="dxa"/>
            <w:vMerge w:val="continue"/>
            <w:tcBorders>
              <w:left w:val="single" w:color="auto" w:sz="4" w:space="0"/>
              <w:right w:val="single" w:color="auto" w:sz="4" w:space="0"/>
            </w:tcBorders>
            <w:noWrap w:val="0"/>
            <w:vAlign w:val="center"/>
          </w:tcPr>
          <w:p w14:paraId="5C71CE14">
            <w:pPr>
              <w:spacing w:line="500" w:lineRule="exact"/>
              <w:jc w:val="center"/>
              <w:rPr>
                <w:b/>
                <w:bCs/>
                <w:szCs w:val="21"/>
              </w:rPr>
            </w:pPr>
          </w:p>
        </w:tc>
        <w:tc>
          <w:tcPr>
            <w:tcW w:w="816" w:type="dxa"/>
            <w:vMerge w:val="continue"/>
            <w:tcBorders>
              <w:left w:val="single" w:color="auto" w:sz="4" w:space="0"/>
              <w:right w:val="single" w:color="auto" w:sz="4" w:space="0"/>
            </w:tcBorders>
            <w:noWrap w:val="0"/>
            <w:vAlign w:val="center"/>
          </w:tcPr>
          <w:p w14:paraId="6495C848">
            <w:pPr>
              <w:spacing w:line="500" w:lineRule="exact"/>
              <w:jc w:val="center"/>
              <w:rPr>
                <w:b/>
                <w:bCs/>
                <w:szCs w:val="21"/>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F2DD177">
            <w:pPr>
              <w:spacing w:line="500" w:lineRule="exact"/>
              <w:jc w:val="center"/>
              <w:rPr>
                <w:szCs w:val="21"/>
              </w:rPr>
            </w:pPr>
            <w:r>
              <w:rPr>
                <w:rFonts w:hint="eastAsia"/>
                <w:szCs w:val="21"/>
                <w:lang w:val="en-US" w:eastAsia="zh-CN"/>
              </w:rPr>
              <w:t>量体、生产方案、增值服务方案</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0B5C1C8F">
            <w:pPr>
              <w:spacing w:line="500" w:lineRule="exact"/>
              <w:jc w:val="left"/>
              <w:rPr>
                <w:rFonts w:hint="eastAsia"/>
                <w:szCs w:val="21"/>
                <w:lang w:val="en-US" w:eastAsia="zh-CN"/>
              </w:rPr>
            </w:pPr>
            <w:r>
              <w:rPr>
                <w:rFonts w:hint="eastAsia"/>
                <w:szCs w:val="21"/>
                <w:lang w:val="en-US" w:eastAsia="zh-CN"/>
              </w:rPr>
              <w:t>评标委员会根据投标人所提供的量体、生产制作、增值服务方案进行综合评分：</w:t>
            </w:r>
          </w:p>
          <w:p w14:paraId="22F071A2">
            <w:pPr>
              <w:spacing w:line="500" w:lineRule="exact"/>
              <w:jc w:val="left"/>
              <w:rPr>
                <w:rFonts w:hint="eastAsia"/>
                <w:szCs w:val="21"/>
              </w:rPr>
            </w:pPr>
            <w:r>
              <w:rPr>
                <w:rFonts w:hint="eastAsia"/>
                <w:szCs w:val="21"/>
              </w:rPr>
              <w:t>1.组织实施方案的完整性与全面性。</w:t>
            </w:r>
          </w:p>
          <w:p w14:paraId="68A2642C">
            <w:pPr>
              <w:spacing w:line="500" w:lineRule="exact"/>
              <w:jc w:val="left"/>
              <w:rPr>
                <w:rFonts w:hint="eastAsia"/>
                <w:szCs w:val="21"/>
              </w:rPr>
            </w:pPr>
            <w:r>
              <w:rPr>
                <w:rFonts w:hint="eastAsia"/>
                <w:szCs w:val="21"/>
              </w:rPr>
              <w:t>2.生产方案：供应商自行编制生产方案，包括不限于生产工艺、生产设备、检测设备等。</w:t>
            </w:r>
          </w:p>
          <w:p w14:paraId="21046021">
            <w:pPr>
              <w:spacing w:line="500" w:lineRule="exact"/>
              <w:jc w:val="left"/>
              <w:rPr>
                <w:rFonts w:hint="eastAsia"/>
                <w:szCs w:val="21"/>
              </w:rPr>
            </w:pPr>
            <w:r>
              <w:rPr>
                <w:rFonts w:hint="eastAsia"/>
                <w:szCs w:val="21"/>
              </w:rPr>
              <w:t>3</w:t>
            </w:r>
            <w:r>
              <w:rPr>
                <w:rFonts w:hint="eastAsia"/>
                <w:szCs w:val="21"/>
                <w:lang w:val="en-US" w:eastAsia="zh-CN"/>
              </w:rPr>
              <w:t>.</w:t>
            </w:r>
            <w:r>
              <w:rPr>
                <w:rFonts w:hint="eastAsia"/>
                <w:szCs w:val="21"/>
              </w:rPr>
              <w:t>量体方案：</w:t>
            </w:r>
          </w:p>
          <w:p w14:paraId="7C874FA2">
            <w:pPr>
              <w:spacing w:line="500" w:lineRule="exact"/>
              <w:jc w:val="left"/>
              <w:rPr>
                <w:rFonts w:hint="eastAsia"/>
                <w:szCs w:val="21"/>
              </w:rPr>
            </w:pPr>
            <w:r>
              <w:rPr>
                <w:rFonts w:hint="eastAsia"/>
                <w:szCs w:val="21"/>
              </w:rPr>
              <w:t>（1）供应商提供明确的量体工作计划，且计划具有及时性和合理性；</w:t>
            </w:r>
          </w:p>
          <w:p w14:paraId="2C7BEF64">
            <w:pPr>
              <w:spacing w:line="500" w:lineRule="exact"/>
              <w:jc w:val="left"/>
              <w:rPr>
                <w:rFonts w:hint="eastAsia"/>
                <w:szCs w:val="21"/>
              </w:rPr>
            </w:pPr>
            <w:r>
              <w:rPr>
                <w:rFonts w:hint="eastAsia"/>
                <w:szCs w:val="21"/>
              </w:rPr>
              <w:t>（2）供应商提供量体服务人员名单、简历及专业技能情况</w:t>
            </w:r>
          </w:p>
          <w:p w14:paraId="39508A49">
            <w:pPr>
              <w:spacing w:line="500" w:lineRule="exact"/>
              <w:jc w:val="left"/>
              <w:rPr>
                <w:rFonts w:hint="eastAsia"/>
                <w:szCs w:val="21"/>
              </w:rPr>
            </w:pPr>
            <w:r>
              <w:rPr>
                <w:rFonts w:hint="eastAsia"/>
                <w:szCs w:val="21"/>
              </w:rPr>
              <w:t>4</w:t>
            </w:r>
            <w:r>
              <w:rPr>
                <w:rFonts w:hint="eastAsia"/>
                <w:szCs w:val="21"/>
                <w:lang w:val="en-US" w:eastAsia="zh-CN"/>
              </w:rPr>
              <w:t>.</w:t>
            </w:r>
            <w:r>
              <w:rPr>
                <w:rFonts w:hint="eastAsia"/>
                <w:szCs w:val="21"/>
              </w:rPr>
              <w:t>增值服务评价：供应商提供合同约定以外的增值服务或个性化服务。</w:t>
            </w:r>
          </w:p>
          <w:p w14:paraId="5860C0A7">
            <w:pPr>
              <w:spacing w:line="500" w:lineRule="exact"/>
              <w:jc w:val="left"/>
              <w:rPr>
                <w:szCs w:val="21"/>
              </w:rPr>
            </w:pPr>
            <w:r>
              <w:rPr>
                <w:rFonts w:hint="eastAsia"/>
                <w:szCs w:val="21"/>
                <w:lang w:val="en-US" w:eastAsia="zh-CN"/>
              </w:rPr>
              <w:t>优秀的，得8＜F≤12分； 良好的，得 4＜F≤8分； 一般的，得 0＜F≤4分；未提供不得分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003878E9">
            <w:pPr>
              <w:spacing w:line="500" w:lineRule="exact"/>
              <w:jc w:val="center"/>
              <w:rPr>
                <w:szCs w:val="21"/>
              </w:rPr>
            </w:pPr>
            <w:r>
              <w:rPr>
                <w:szCs w:val="21"/>
              </w:rPr>
              <w:t>≤</w:t>
            </w:r>
            <w:r>
              <w:rPr>
                <w:rFonts w:hint="eastAsia"/>
                <w:szCs w:val="21"/>
                <w:lang w:val="en-US" w:eastAsia="zh-CN"/>
              </w:rPr>
              <w:t>12</w:t>
            </w:r>
            <w:r>
              <w:rPr>
                <w:szCs w:val="21"/>
              </w:rPr>
              <w:t>分</w:t>
            </w:r>
          </w:p>
        </w:tc>
      </w:tr>
      <w:tr w14:paraId="4419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6" w:type="dxa"/>
            <w:vMerge w:val="continue"/>
            <w:tcBorders>
              <w:left w:val="single" w:color="auto" w:sz="4" w:space="0"/>
              <w:right w:val="single" w:color="auto" w:sz="4" w:space="0"/>
            </w:tcBorders>
            <w:noWrap w:val="0"/>
            <w:vAlign w:val="center"/>
          </w:tcPr>
          <w:p w14:paraId="189A8A19">
            <w:pPr>
              <w:spacing w:line="500" w:lineRule="exact"/>
              <w:jc w:val="center"/>
              <w:rPr>
                <w:b/>
                <w:bCs/>
                <w:szCs w:val="21"/>
              </w:rPr>
            </w:pPr>
          </w:p>
        </w:tc>
        <w:tc>
          <w:tcPr>
            <w:tcW w:w="816" w:type="dxa"/>
            <w:vMerge w:val="continue"/>
            <w:tcBorders>
              <w:left w:val="single" w:color="auto" w:sz="4" w:space="0"/>
              <w:right w:val="single" w:color="auto" w:sz="4" w:space="0"/>
            </w:tcBorders>
            <w:noWrap w:val="0"/>
            <w:vAlign w:val="center"/>
          </w:tcPr>
          <w:p w14:paraId="4271EE93">
            <w:pPr>
              <w:spacing w:line="500" w:lineRule="exact"/>
              <w:jc w:val="center"/>
              <w:rPr>
                <w:b/>
                <w:bCs/>
                <w:szCs w:val="21"/>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D56E748">
            <w:pPr>
              <w:spacing w:line="500" w:lineRule="exact"/>
              <w:jc w:val="center"/>
              <w:rPr>
                <w:szCs w:val="21"/>
              </w:rPr>
            </w:pPr>
            <w:r>
              <w:rPr>
                <w:rFonts w:hint="eastAsia"/>
                <w:szCs w:val="21"/>
              </w:rPr>
              <w:t>售后服务</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25A531CE">
            <w:pPr>
              <w:spacing w:line="500" w:lineRule="exact"/>
              <w:jc w:val="left"/>
              <w:rPr>
                <w:rFonts w:hint="eastAsia"/>
                <w:szCs w:val="21"/>
                <w:lang w:val="en-US" w:eastAsia="zh-CN"/>
              </w:rPr>
            </w:pPr>
            <w:r>
              <w:rPr>
                <w:rFonts w:hint="eastAsia"/>
                <w:szCs w:val="21"/>
                <w:lang w:val="en-US" w:eastAsia="zh-CN"/>
              </w:rPr>
              <w:t>评标委员会根据投标人的售后服务措施包括：投标产品的质保期、售后服务响应时间、售后服务范围、售后服务保障措施、提前交货承诺、其他服务承诺、维修方式、速度以及能力、响应时间、备品备件等作综合比较：</w:t>
            </w:r>
          </w:p>
          <w:p w14:paraId="55389FF3">
            <w:pPr>
              <w:spacing w:line="500" w:lineRule="exact"/>
              <w:jc w:val="left"/>
              <w:rPr>
                <w:szCs w:val="21"/>
              </w:rPr>
            </w:pPr>
            <w:r>
              <w:rPr>
                <w:rFonts w:hint="eastAsia"/>
                <w:szCs w:val="21"/>
                <w:lang w:val="en-US" w:eastAsia="zh-CN"/>
              </w:rPr>
              <w:t>优秀的，得6＜F≤9分；良好的，得3＜F≤6分；一般的，得0＜F≤3分；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6777D382">
            <w:pPr>
              <w:spacing w:line="500" w:lineRule="exact"/>
              <w:jc w:val="center"/>
              <w:rPr>
                <w:rFonts w:hint="eastAsia" w:eastAsia="宋体"/>
                <w:szCs w:val="21"/>
                <w:lang w:val="en-US" w:eastAsia="zh-CN"/>
              </w:rPr>
            </w:pPr>
            <w:r>
              <w:rPr>
                <w:szCs w:val="21"/>
              </w:rPr>
              <w:t>≤</w:t>
            </w:r>
            <w:r>
              <w:rPr>
                <w:rFonts w:hint="eastAsia"/>
                <w:szCs w:val="21"/>
                <w:lang w:val="en-US" w:eastAsia="zh-CN"/>
              </w:rPr>
              <w:t>12</w:t>
            </w:r>
            <w:r>
              <w:rPr>
                <w:szCs w:val="21"/>
              </w:rPr>
              <w:t>分</w:t>
            </w:r>
          </w:p>
        </w:tc>
      </w:tr>
      <w:tr w14:paraId="2D8F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16" w:type="dxa"/>
            <w:vMerge w:val="continue"/>
            <w:tcBorders>
              <w:left w:val="single" w:color="auto" w:sz="4" w:space="0"/>
              <w:bottom w:val="single" w:color="auto" w:sz="4" w:space="0"/>
              <w:right w:val="single" w:color="auto" w:sz="4" w:space="0"/>
            </w:tcBorders>
            <w:noWrap w:val="0"/>
            <w:vAlign w:val="center"/>
          </w:tcPr>
          <w:p w14:paraId="1401B750">
            <w:pPr>
              <w:spacing w:line="500" w:lineRule="exact"/>
              <w:jc w:val="center"/>
              <w:rPr>
                <w:b/>
                <w:bCs/>
                <w:szCs w:val="21"/>
              </w:rPr>
            </w:pPr>
          </w:p>
        </w:tc>
        <w:tc>
          <w:tcPr>
            <w:tcW w:w="816" w:type="dxa"/>
            <w:vMerge w:val="continue"/>
            <w:tcBorders>
              <w:left w:val="single" w:color="auto" w:sz="4" w:space="0"/>
              <w:bottom w:val="single" w:color="auto" w:sz="4" w:space="0"/>
              <w:right w:val="single" w:color="auto" w:sz="4" w:space="0"/>
            </w:tcBorders>
            <w:noWrap w:val="0"/>
            <w:vAlign w:val="center"/>
          </w:tcPr>
          <w:p w14:paraId="4FE6142A">
            <w:pPr>
              <w:spacing w:line="500" w:lineRule="exact"/>
              <w:jc w:val="center"/>
              <w:rPr>
                <w:b/>
                <w:bCs/>
                <w:szCs w:val="21"/>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540AB800">
            <w:pPr>
              <w:spacing w:line="500" w:lineRule="exact"/>
              <w:jc w:val="center"/>
              <w:rPr>
                <w:rFonts w:hint="eastAsia" w:ascii="Times New Roman" w:hAnsi="Times New Roman" w:eastAsia="宋体" w:cs="Times New Roman"/>
                <w:szCs w:val="21"/>
              </w:rPr>
            </w:pPr>
          </w:p>
          <w:p w14:paraId="11421958">
            <w:pPr>
              <w:spacing w:line="500" w:lineRule="exact"/>
              <w:jc w:val="center"/>
              <w:rPr>
                <w:rFonts w:hint="eastAsia" w:ascii="Times New Roman" w:hAnsi="Times New Roman" w:eastAsia="宋体" w:cs="Times New Roman"/>
                <w:szCs w:val="21"/>
              </w:rPr>
            </w:pPr>
          </w:p>
          <w:p w14:paraId="45BA8189">
            <w:pPr>
              <w:spacing w:line="500" w:lineRule="exact"/>
              <w:jc w:val="center"/>
              <w:rPr>
                <w:rFonts w:hint="eastAsia" w:ascii="Times New Roman" w:hAnsi="Times New Roman" w:eastAsia="宋体" w:cs="Times New Roman"/>
                <w:szCs w:val="21"/>
              </w:rPr>
            </w:pPr>
          </w:p>
          <w:p w14:paraId="1528D50C">
            <w:pPr>
              <w:spacing w:line="500" w:lineRule="exact"/>
              <w:jc w:val="center"/>
              <w:rPr>
                <w:rFonts w:hint="eastAsia" w:ascii="Times New Roman" w:hAnsi="Times New Roman" w:eastAsia="宋体" w:cs="Times New Roman"/>
                <w:szCs w:val="21"/>
              </w:rPr>
            </w:pPr>
          </w:p>
          <w:p w14:paraId="083CE165">
            <w:pPr>
              <w:spacing w:line="50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应急保障方案</w:t>
            </w:r>
          </w:p>
        </w:tc>
        <w:tc>
          <w:tcPr>
            <w:tcW w:w="6113" w:type="dxa"/>
            <w:tcBorders>
              <w:top w:val="single" w:color="auto" w:sz="4" w:space="0"/>
              <w:left w:val="single" w:color="auto" w:sz="4" w:space="0"/>
              <w:bottom w:val="single" w:color="auto" w:sz="4" w:space="0"/>
              <w:right w:val="single" w:color="auto" w:sz="4" w:space="0"/>
            </w:tcBorders>
            <w:noWrap w:val="0"/>
            <w:vAlign w:val="top"/>
          </w:tcPr>
          <w:p w14:paraId="689E9DB2">
            <w:pPr>
              <w:spacing w:line="5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评标委员会根据投标人提供的应急保障方案进行评分： 内容包括</w:t>
            </w:r>
          </w:p>
          <w:p w14:paraId="63A24AE2">
            <w:pPr>
              <w:spacing w:line="500" w:lineRule="exact"/>
              <w:jc w:val="both"/>
              <w:rPr>
                <w:rFonts w:hint="eastAsia" w:ascii="Times New Roman" w:hAnsi="Times New Roman" w:eastAsia="宋体" w:cs="Times New Roman"/>
                <w:szCs w:val="21"/>
              </w:rPr>
            </w:pPr>
            <w:r>
              <w:rPr>
                <w:rFonts w:hint="eastAsia" w:ascii="Times New Roman" w:hAnsi="Times New Roman" w:eastAsia="宋体" w:cs="Times New Roman"/>
                <w:szCs w:val="21"/>
              </w:rPr>
              <w:t>但不限于针对突发情况的应急方案、处理措施等方面：如发生</w:t>
            </w:r>
            <w:r>
              <w:rPr>
                <w:rFonts w:hint="eastAsia" w:ascii="Times New Roman" w:hAnsi="Times New Roman" w:eastAsia="宋体" w:cs="Times New Roman"/>
                <w:szCs w:val="21"/>
                <w:lang w:val="en-US" w:eastAsia="zh-CN"/>
              </w:rPr>
              <w:t>需</w:t>
            </w:r>
            <w:r>
              <w:rPr>
                <w:rFonts w:hint="eastAsia" w:ascii="Times New Roman" w:hAnsi="Times New Roman" w:eastAsia="宋体" w:cs="Times New Roman"/>
                <w:szCs w:val="21"/>
              </w:rPr>
              <w:t>要临时修补更换调整或需要集中供货或出现备货不足等情形。</w:t>
            </w:r>
          </w:p>
          <w:p w14:paraId="5CCD4597">
            <w:pPr>
              <w:numPr>
                <w:ilvl w:val="0"/>
                <w:numId w:val="0"/>
              </w:numPr>
              <w:spacing w:line="500" w:lineRule="exact"/>
              <w:jc w:val="both"/>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应急方案、措施满足本项目采购需求，完整详细，可行性实</w:t>
            </w:r>
          </w:p>
          <w:p w14:paraId="01386141">
            <w:pPr>
              <w:numPr>
                <w:ilvl w:val="0"/>
                <w:numId w:val="0"/>
              </w:numPr>
              <w:spacing w:line="500" w:lineRule="exact"/>
              <w:jc w:val="both"/>
              <w:rPr>
                <w:rFonts w:hint="eastAsia" w:ascii="Times New Roman" w:hAnsi="Times New Roman" w:eastAsia="宋体" w:cs="Times New Roman"/>
                <w:szCs w:val="21"/>
              </w:rPr>
            </w:pPr>
            <w:r>
              <w:rPr>
                <w:rFonts w:hint="eastAsia" w:ascii="Times New Roman" w:hAnsi="Times New Roman" w:eastAsia="宋体" w:cs="Times New Roman"/>
                <w:szCs w:val="21"/>
              </w:rPr>
              <w:t>用性</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针对性强</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得</w:t>
            </w:r>
            <w:r>
              <w:rPr>
                <w:rFonts w:hint="eastAsia"/>
                <w:szCs w:val="21"/>
                <w:lang w:val="en-US" w:eastAsia="zh-CN"/>
              </w:rPr>
              <w:t>6＜F≤9</w:t>
            </w:r>
            <w:r>
              <w:rPr>
                <w:rFonts w:hint="eastAsia" w:ascii="Times New Roman" w:hAnsi="Times New Roman" w:eastAsia="宋体" w:cs="Times New Roman"/>
                <w:szCs w:val="21"/>
              </w:rPr>
              <w:t>分；</w:t>
            </w:r>
          </w:p>
          <w:p w14:paraId="43B7EBF2">
            <w:pPr>
              <w:numPr>
                <w:ilvl w:val="0"/>
                <w:numId w:val="0"/>
              </w:numPr>
              <w:spacing w:line="500" w:lineRule="exact"/>
              <w:ind w:leftChars="0"/>
              <w:jc w:val="both"/>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应急方案、措施适合本项目采购需求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完整详细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具有可行</w:t>
            </w:r>
          </w:p>
          <w:p w14:paraId="2BD2F8B6">
            <w:pPr>
              <w:numPr>
                <w:ilvl w:val="0"/>
                <w:numId w:val="0"/>
              </w:numPr>
              <w:spacing w:line="500" w:lineRule="exact"/>
              <w:ind w:leftChars="0"/>
              <w:jc w:val="both"/>
              <w:rPr>
                <w:rFonts w:hint="eastAsia" w:ascii="Times New Roman" w:hAnsi="Times New Roman" w:eastAsia="宋体" w:cs="Times New Roman"/>
                <w:szCs w:val="21"/>
              </w:rPr>
            </w:pPr>
            <w:r>
              <w:rPr>
                <w:rFonts w:hint="eastAsia" w:ascii="Times New Roman" w:hAnsi="Times New Roman" w:eastAsia="宋体" w:cs="Times New Roman"/>
                <w:szCs w:val="21"/>
              </w:rPr>
              <w:t>性、实用性和针对性，得</w:t>
            </w:r>
            <w:r>
              <w:rPr>
                <w:rFonts w:hint="eastAsia"/>
                <w:szCs w:val="21"/>
                <w:lang w:val="en-US" w:eastAsia="zh-CN"/>
              </w:rPr>
              <w:t>3＜F≤6</w:t>
            </w:r>
            <w:r>
              <w:rPr>
                <w:rFonts w:hint="eastAsia" w:ascii="Times New Roman" w:hAnsi="Times New Roman" w:eastAsia="宋体" w:cs="Times New Roman"/>
                <w:szCs w:val="21"/>
              </w:rPr>
              <w:t>分；</w:t>
            </w:r>
          </w:p>
          <w:p w14:paraId="1E2356AA">
            <w:pPr>
              <w:numPr>
                <w:ilvl w:val="0"/>
                <w:numId w:val="0"/>
              </w:numPr>
              <w:spacing w:line="500" w:lineRule="exact"/>
              <w:ind w:leftChars="0"/>
              <w:jc w:val="both"/>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应急方案、措施基本适合本项目采购需求，可行性、实用</w:t>
            </w:r>
          </w:p>
          <w:p w14:paraId="42F4DF6F">
            <w:pPr>
              <w:numPr>
                <w:ilvl w:val="0"/>
                <w:numId w:val="0"/>
              </w:numPr>
              <w:spacing w:line="500" w:lineRule="exact"/>
              <w:ind w:leftChars="0"/>
              <w:jc w:val="both"/>
              <w:rPr>
                <w:rFonts w:hint="eastAsia" w:ascii="Times New Roman" w:hAnsi="Times New Roman" w:eastAsia="宋体" w:cs="Times New Roman"/>
                <w:szCs w:val="21"/>
              </w:rPr>
            </w:pPr>
            <w:r>
              <w:rPr>
                <w:rFonts w:hint="eastAsia" w:ascii="Times New Roman" w:hAnsi="Times New Roman" w:eastAsia="宋体" w:cs="Times New Roman"/>
                <w:szCs w:val="21"/>
              </w:rPr>
              <w:t>性、针对性有待改善</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得</w:t>
            </w:r>
            <w:r>
              <w:rPr>
                <w:rFonts w:hint="eastAsia"/>
                <w:szCs w:val="21"/>
                <w:lang w:val="en-US" w:eastAsia="zh-CN"/>
              </w:rPr>
              <w:t>0＜F≤3</w:t>
            </w:r>
            <w:r>
              <w:rPr>
                <w:rFonts w:hint="eastAsia" w:ascii="Times New Roman" w:hAnsi="Times New Roman" w:eastAsia="宋体" w:cs="Times New Roman"/>
                <w:szCs w:val="21"/>
              </w:rPr>
              <w:t>分；</w:t>
            </w:r>
          </w:p>
          <w:p w14:paraId="77AB221E">
            <w:pPr>
              <w:spacing w:line="500" w:lineRule="exact"/>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方案内容不可行或者未提供得</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4A5CE2D1">
            <w:pPr>
              <w:spacing w:line="500" w:lineRule="exact"/>
              <w:jc w:val="center"/>
              <w:rPr>
                <w:rFonts w:hint="eastAsia" w:ascii="Times New Roman" w:hAnsi="Times New Roman" w:eastAsia="宋体" w:cs="Times New Roman"/>
                <w:szCs w:val="21"/>
                <w:lang w:val="en-US" w:eastAsia="zh-CN"/>
              </w:rPr>
            </w:pPr>
            <w:r>
              <w:rPr>
                <w:szCs w:val="21"/>
              </w:rPr>
              <w:t>≤</w:t>
            </w:r>
            <w:r>
              <w:rPr>
                <w:rFonts w:hint="eastAsia"/>
                <w:szCs w:val="21"/>
                <w:lang w:val="en-US" w:eastAsia="zh-CN"/>
              </w:rPr>
              <w:t>12</w:t>
            </w:r>
            <w:r>
              <w:rPr>
                <w:szCs w:val="21"/>
              </w:rPr>
              <w:t>分</w:t>
            </w:r>
          </w:p>
        </w:tc>
      </w:tr>
    </w:tbl>
    <w:p w14:paraId="46E29865">
      <w:pPr>
        <w:keepNext/>
        <w:keepLines/>
        <w:spacing w:after="120" w:afterLines="50" w:line="500" w:lineRule="exact"/>
        <w:jc w:val="center"/>
        <w:outlineLvl w:val="2"/>
        <w:rPr>
          <w:rFonts w:eastAsia="黑体"/>
          <w:bCs/>
          <w:sz w:val="28"/>
          <w:szCs w:val="28"/>
        </w:rPr>
      </w:pPr>
      <w:bookmarkStart w:id="6" w:name="_Toc31636"/>
      <w:bookmarkStart w:id="7" w:name="_Toc7693"/>
      <w:bookmarkStart w:id="8" w:name="_Toc24535"/>
      <w:bookmarkStart w:id="9" w:name="_Toc13321"/>
      <w:r>
        <w:rPr>
          <w:rFonts w:eastAsia="黑体"/>
          <w:bCs/>
          <w:sz w:val="28"/>
          <w:szCs w:val="28"/>
        </w:rPr>
        <w:t>报价文件详细评审标准</w:t>
      </w:r>
    </w:p>
    <w:tbl>
      <w:tblPr>
        <w:tblStyle w:val="8"/>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
        <w:gridCol w:w="1486"/>
        <w:gridCol w:w="1002"/>
        <w:gridCol w:w="5292"/>
        <w:gridCol w:w="723"/>
      </w:tblGrid>
      <w:tr w14:paraId="68A4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23" w:type="dxa"/>
            <w:gridSpan w:val="2"/>
            <w:noWrap w:val="0"/>
            <w:vAlign w:val="center"/>
          </w:tcPr>
          <w:p w14:paraId="035E914B">
            <w:pPr>
              <w:spacing w:line="500" w:lineRule="exact"/>
              <w:jc w:val="center"/>
            </w:pPr>
            <w:r>
              <w:rPr>
                <w:b/>
                <w:bCs/>
                <w:kern w:val="0"/>
                <w:szCs w:val="21"/>
              </w:rPr>
              <w:t>条款号</w:t>
            </w:r>
          </w:p>
        </w:tc>
        <w:tc>
          <w:tcPr>
            <w:tcW w:w="1002" w:type="dxa"/>
            <w:noWrap w:val="0"/>
            <w:tcMar>
              <w:left w:w="75" w:type="dxa"/>
            </w:tcMar>
            <w:vAlign w:val="center"/>
          </w:tcPr>
          <w:p w14:paraId="67396A5C">
            <w:pPr>
              <w:snapToGrid w:val="0"/>
              <w:spacing w:line="500" w:lineRule="exact"/>
              <w:jc w:val="center"/>
            </w:pPr>
            <w:r>
              <w:rPr>
                <w:b/>
                <w:bCs/>
                <w:kern w:val="0"/>
                <w:szCs w:val="21"/>
              </w:rPr>
              <w:t>评分因素</w:t>
            </w:r>
          </w:p>
        </w:tc>
        <w:tc>
          <w:tcPr>
            <w:tcW w:w="5292" w:type="dxa"/>
            <w:noWrap w:val="0"/>
            <w:vAlign w:val="center"/>
          </w:tcPr>
          <w:p w14:paraId="4E73ECE0">
            <w:pPr>
              <w:autoSpaceDE w:val="0"/>
              <w:autoSpaceDN w:val="0"/>
              <w:adjustRightInd w:val="0"/>
              <w:snapToGrid w:val="0"/>
              <w:spacing w:line="500" w:lineRule="exact"/>
              <w:jc w:val="center"/>
              <w:rPr>
                <w:color w:val="000000"/>
                <w:spacing w:val="-2"/>
                <w:szCs w:val="21"/>
              </w:rPr>
            </w:pPr>
            <w:r>
              <w:rPr>
                <w:b/>
                <w:bCs/>
                <w:kern w:val="0"/>
                <w:szCs w:val="21"/>
              </w:rPr>
              <w:t>评分标准</w:t>
            </w:r>
          </w:p>
        </w:tc>
        <w:tc>
          <w:tcPr>
            <w:tcW w:w="723" w:type="dxa"/>
            <w:noWrap w:val="0"/>
            <w:vAlign w:val="center"/>
          </w:tcPr>
          <w:p w14:paraId="544C1926">
            <w:pPr>
              <w:autoSpaceDE w:val="0"/>
              <w:autoSpaceDN w:val="0"/>
              <w:adjustRightInd w:val="0"/>
              <w:snapToGrid w:val="0"/>
              <w:spacing w:line="500" w:lineRule="exact"/>
              <w:jc w:val="center"/>
              <w:rPr>
                <w:b/>
                <w:bCs/>
                <w:kern w:val="0"/>
                <w:szCs w:val="21"/>
              </w:rPr>
            </w:pPr>
            <w:r>
              <w:rPr>
                <w:b/>
                <w:bCs/>
                <w:kern w:val="0"/>
                <w:szCs w:val="21"/>
              </w:rPr>
              <w:t>分值</w:t>
            </w:r>
          </w:p>
        </w:tc>
      </w:tr>
      <w:tr w14:paraId="590F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837" w:type="dxa"/>
            <w:noWrap w:val="0"/>
            <w:vAlign w:val="center"/>
          </w:tcPr>
          <w:p w14:paraId="3D25F923">
            <w:pPr>
              <w:spacing w:line="500" w:lineRule="exact"/>
              <w:jc w:val="center"/>
            </w:pPr>
            <w:r>
              <w:t>2.2.3（3）</w:t>
            </w:r>
          </w:p>
        </w:tc>
        <w:tc>
          <w:tcPr>
            <w:tcW w:w="1486" w:type="dxa"/>
            <w:noWrap w:val="0"/>
            <w:vAlign w:val="center"/>
          </w:tcPr>
          <w:p w14:paraId="732B9868">
            <w:pPr>
              <w:spacing w:line="500" w:lineRule="exact"/>
              <w:jc w:val="center"/>
            </w:pPr>
            <w:r>
              <w:t>投标报价评分标准</w:t>
            </w:r>
          </w:p>
        </w:tc>
        <w:tc>
          <w:tcPr>
            <w:tcW w:w="1002" w:type="dxa"/>
            <w:noWrap w:val="0"/>
            <w:tcMar>
              <w:left w:w="75" w:type="dxa"/>
            </w:tcMar>
            <w:vAlign w:val="center"/>
          </w:tcPr>
          <w:p w14:paraId="63906556">
            <w:pPr>
              <w:snapToGrid w:val="0"/>
              <w:spacing w:line="500" w:lineRule="exact"/>
              <w:jc w:val="center"/>
            </w:pPr>
            <w:r>
              <w:rPr>
                <w:color w:val="000000"/>
              </w:rPr>
              <w:t>价格分</w:t>
            </w:r>
          </w:p>
        </w:tc>
        <w:tc>
          <w:tcPr>
            <w:tcW w:w="5292" w:type="dxa"/>
            <w:noWrap w:val="0"/>
            <w:vAlign w:val="center"/>
          </w:tcPr>
          <w:p w14:paraId="00B6854C">
            <w:pPr>
              <w:autoSpaceDE w:val="0"/>
              <w:autoSpaceDN w:val="0"/>
              <w:adjustRightInd w:val="0"/>
              <w:snapToGrid w:val="0"/>
              <w:spacing w:line="500" w:lineRule="exact"/>
              <w:jc w:val="left"/>
              <w:rPr>
                <w:color w:val="000000"/>
                <w:spacing w:val="-2"/>
                <w:szCs w:val="21"/>
              </w:rPr>
            </w:pPr>
            <w:r>
              <w:rPr>
                <w:color w:val="000000"/>
                <w:spacing w:val="-2"/>
                <w:szCs w:val="21"/>
              </w:rPr>
              <w:t>评标价等于评标基准价的，其评标价得分为满分。其他评标价对应得分统一按照下列公式计算：评标价得分＝（评标基准价/评标价）×评标价权重分值。</w:t>
            </w:r>
          </w:p>
        </w:tc>
        <w:tc>
          <w:tcPr>
            <w:tcW w:w="723" w:type="dxa"/>
            <w:noWrap w:val="0"/>
            <w:vAlign w:val="center"/>
          </w:tcPr>
          <w:p w14:paraId="7884A921">
            <w:pPr>
              <w:autoSpaceDE w:val="0"/>
              <w:autoSpaceDN w:val="0"/>
              <w:adjustRightInd w:val="0"/>
              <w:snapToGrid w:val="0"/>
              <w:spacing w:line="500" w:lineRule="exact"/>
              <w:jc w:val="center"/>
              <w:rPr>
                <w:color w:val="000000"/>
                <w:spacing w:val="-2"/>
                <w:szCs w:val="21"/>
              </w:rPr>
            </w:pPr>
            <w:r>
              <w:rPr>
                <w:rFonts w:hint="eastAsia"/>
                <w:kern w:val="0"/>
                <w:szCs w:val="21"/>
                <w:u w:val="single"/>
                <w:lang w:val="en-US" w:eastAsia="zh-CN"/>
              </w:rPr>
              <w:t>20</w:t>
            </w:r>
            <w:r>
              <w:rPr>
                <w:kern w:val="0"/>
                <w:szCs w:val="21"/>
              </w:rPr>
              <w:t>分</w:t>
            </w:r>
          </w:p>
        </w:tc>
      </w:tr>
    </w:tbl>
    <w:p w14:paraId="1FEDB9CD">
      <w:pPr>
        <w:keepNext/>
        <w:keepLines/>
      </w:pPr>
    </w:p>
    <w:p w14:paraId="1E5A5B5F">
      <w:pPr>
        <w:pStyle w:val="3"/>
        <w:spacing w:before="0" w:after="0" w:line="500" w:lineRule="exact"/>
        <w:rPr>
          <w:rFonts w:ascii="Times New Roman" w:hAnsi="Times New Roman" w:eastAsia="黑体"/>
          <w:b w:val="0"/>
          <w:bCs w:val="0"/>
          <w:sz w:val="28"/>
          <w:szCs w:val="28"/>
        </w:rPr>
      </w:pPr>
      <w:bookmarkStart w:id="10" w:name="_Toc28203"/>
      <w:r>
        <w:rPr>
          <w:rFonts w:ascii="Times New Roman" w:hAnsi="Times New Roman" w:eastAsia="黑体"/>
          <w:b w:val="0"/>
          <w:bCs w:val="0"/>
          <w:sz w:val="28"/>
          <w:szCs w:val="28"/>
        </w:rPr>
        <w:t>1. 评标方法</w:t>
      </w:r>
      <w:bookmarkEnd w:id="6"/>
      <w:bookmarkEnd w:id="7"/>
      <w:bookmarkEnd w:id="8"/>
      <w:bookmarkEnd w:id="9"/>
      <w:bookmarkEnd w:id="10"/>
    </w:p>
    <w:p w14:paraId="2EA48E7D">
      <w:pPr>
        <w:snapToGrid w:val="0"/>
        <w:spacing w:line="500" w:lineRule="exact"/>
        <w:ind w:firstLine="420" w:firstLineChars="200"/>
        <w:rPr>
          <w:rFonts w:eastAsia="黑体"/>
          <w:sz w:val="24"/>
        </w:rPr>
      </w:pPr>
      <w:r>
        <w:t>本次评标采用综合评估法（有效价格）。评标委员会对满足招标文件实质性要求的投标</w:t>
      </w:r>
      <w:bookmarkStart w:id="33" w:name="_GoBack"/>
      <w:bookmarkEnd w:id="33"/>
      <w:r>
        <w:t>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w:t>
      </w:r>
      <w:r>
        <w:rPr>
          <w:color w:val="000000"/>
          <w:szCs w:val="21"/>
        </w:rPr>
        <w:t>按照评标办法前附表中的规定确定中标候选人顺序。</w:t>
      </w:r>
    </w:p>
    <w:p w14:paraId="05EEB32F">
      <w:pPr>
        <w:snapToGrid w:val="0"/>
        <w:spacing w:line="500" w:lineRule="exact"/>
        <w:ind w:firstLine="420" w:firstLineChars="200"/>
        <w:rPr>
          <w:color w:val="000000"/>
          <w:szCs w:val="21"/>
        </w:rPr>
      </w:pPr>
      <w:r>
        <w:rPr>
          <w:color w:val="000000"/>
          <w:szCs w:val="21"/>
        </w:rPr>
        <w:t>本次评标的先后顺序及最多可中标段数量详见评标办法前附表</w:t>
      </w:r>
      <w:r>
        <w:rPr>
          <w:rStyle w:val="10"/>
          <w:color w:val="000000"/>
          <w:szCs w:val="21"/>
        </w:rPr>
        <w:footnoteReference w:id="0"/>
      </w:r>
      <w:r>
        <w:rPr>
          <w:color w:val="000000"/>
          <w:szCs w:val="21"/>
        </w:rPr>
        <w:t>。被推荐为第一中标候选人的标段个数已达到最多允许中标的标段个数的投标人，在后续标段不再被推荐为中标候选人，但仍参与评审。</w:t>
      </w:r>
    </w:p>
    <w:p w14:paraId="2D435450">
      <w:pPr>
        <w:snapToGrid w:val="0"/>
        <w:spacing w:line="500" w:lineRule="exact"/>
        <w:ind w:firstLine="420" w:firstLineChars="200"/>
        <w:rPr>
          <w:color w:val="000000"/>
          <w:szCs w:val="21"/>
        </w:rPr>
      </w:pPr>
      <w:r>
        <w:rPr>
          <w:color w:val="000000"/>
          <w:szCs w:val="21"/>
        </w:rPr>
        <w:t>评标结束后如有某标段的第一中标候选人发生变化的情况，不影响其他标段排序。</w:t>
      </w:r>
    </w:p>
    <w:p w14:paraId="06781A4D">
      <w:pPr>
        <w:pStyle w:val="3"/>
        <w:spacing w:before="0" w:after="0" w:line="500" w:lineRule="exact"/>
        <w:rPr>
          <w:rFonts w:ascii="Times New Roman" w:hAnsi="Times New Roman" w:eastAsia="黑体"/>
          <w:b w:val="0"/>
          <w:bCs w:val="0"/>
          <w:sz w:val="28"/>
          <w:szCs w:val="28"/>
        </w:rPr>
      </w:pPr>
      <w:bookmarkStart w:id="11" w:name="_Toc737"/>
      <w:bookmarkStart w:id="12" w:name="_Toc13983"/>
      <w:bookmarkStart w:id="13" w:name="_Toc19378"/>
      <w:bookmarkStart w:id="14" w:name="_Toc30403"/>
      <w:bookmarkStart w:id="15" w:name="_Toc25200"/>
      <w:bookmarkStart w:id="16" w:name="_Toc18706"/>
      <w:r>
        <w:rPr>
          <w:rFonts w:ascii="Times New Roman" w:hAnsi="Times New Roman" w:eastAsia="黑体"/>
          <w:b w:val="0"/>
          <w:bCs w:val="0"/>
          <w:sz w:val="28"/>
          <w:szCs w:val="28"/>
        </w:rPr>
        <w:t>2. 评审标准</w:t>
      </w:r>
      <w:bookmarkEnd w:id="11"/>
      <w:bookmarkEnd w:id="12"/>
      <w:bookmarkEnd w:id="13"/>
      <w:bookmarkEnd w:id="14"/>
      <w:bookmarkEnd w:id="15"/>
      <w:bookmarkEnd w:id="16"/>
    </w:p>
    <w:p w14:paraId="0227C20A">
      <w:pPr>
        <w:pStyle w:val="4"/>
        <w:spacing w:before="0" w:after="0" w:line="500" w:lineRule="exact"/>
        <w:ind w:firstLine="137"/>
        <w:rPr>
          <w:rFonts w:ascii="Times New Roman" w:hAnsi="Times New Roman"/>
        </w:rPr>
      </w:pPr>
      <w:bookmarkStart w:id="17" w:name="_Toc26440"/>
      <w:bookmarkStart w:id="18" w:name="_Toc18093"/>
      <w:bookmarkStart w:id="19" w:name="_Toc1255"/>
      <w:r>
        <w:rPr>
          <w:rFonts w:ascii="Times New Roman" w:hAnsi="Times New Roman"/>
        </w:rPr>
        <w:t>2.1 初步评审标准</w:t>
      </w:r>
      <w:bookmarkEnd w:id="17"/>
      <w:bookmarkEnd w:id="18"/>
      <w:bookmarkEnd w:id="19"/>
    </w:p>
    <w:p w14:paraId="6601702D">
      <w:pPr>
        <w:spacing w:line="500" w:lineRule="exact"/>
        <w:ind w:firstLine="420" w:firstLineChars="200"/>
      </w:pPr>
      <w:r>
        <w:t>2.1.1 形式评审标准：见评标办法前附表。</w:t>
      </w:r>
    </w:p>
    <w:p w14:paraId="5BA99D28">
      <w:pPr>
        <w:spacing w:line="500" w:lineRule="exact"/>
        <w:ind w:firstLine="420" w:firstLineChars="200"/>
      </w:pPr>
      <w:r>
        <w:t>2.1.2 资格评审标准：见评标办法前附表。</w:t>
      </w:r>
    </w:p>
    <w:p w14:paraId="7C05BD3E">
      <w:pPr>
        <w:spacing w:line="500" w:lineRule="exact"/>
        <w:ind w:firstLine="420" w:firstLineChars="200"/>
      </w:pPr>
      <w:r>
        <w:t>2.1.3 响应性评审标准：见评标办法前附表。</w:t>
      </w:r>
    </w:p>
    <w:p w14:paraId="4E342CD8">
      <w:pPr>
        <w:pStyle w:val="4"/>
        <w:spacing w:before="0" w:after="0" w:line="500" w:lineRule="exact"/>
        <w:ind w:firstLine="137"/>
        <w:rPr>
          <w:rFonts w:ascii="Times New Roman" w:hAnsi="Times New Roman"/>
        </w:rPr>
      </w:pPr>
      <w:bookmarkStart w:id="20" w:name="_Toc11465"/>
      <w:bookmarkStart w:id="21" w:name="_Toc16485"/>
      <w:bookmarkStart w:id="22" w:name="_Toc16643"/>
      <w:r>
        <w:rPr>
          <w:rFonts w:ascii="Times New Roman" w:hAnsi="Times New Roman"/>
        </w:rPr>
        <w:t>2.2 分值构成与评分标准</w:t>
      </w:r>
      <w:bookmarkEnd w:id="20"/>
      <w:bookmarkEnd w:id="21"/>
      <w:bookmarkEnd w:id="22"/>
    </w:p>
    <w:p w14:paraId="1DE03C9E">
      <w:pPr>
        <w:spacing w:line="500" w:lineRule="exact"/>
        <w:ind w:firstLine="420" w:firstLineChars="200"/>
        <w:outlineLvl w:val="2"/>
      </w:pPr>
      <w:r>
        <w:t>2.2.1 分值构成</w:t>
      </w:r>
    </w:p>
    <w:p w14:paraId="3090714B">
      <w:pPr>
        <w:spacing w:line="500" w:lineRule="exact"/>
        <w:ind w:firstLine="420" w:firstLineChars="200"/>
      </w:pPr>
      <w:r>
        <w:t>（1）商务部分：见评标办法前附表；</w:t>
      </w:r>
    </w:p>
    <w:p w14:paraId="39EE6466">
      <w:pPr>
        <w:spacing w:line="500" w:lineRule="exact"/>
        <w:ind w:firstLine="420" w:firstLineChars="200"/>
      </w:pPr>
      <w:r>
        <w:t>（2）技术部分：见评标办法前附表；</w:t>
      </w:r>
    </w:p>
    <w:p w14:paraId="2318BC36">
      <w:pPr>
        <w:spacing w:line="500" w:lineRule="exact"/>
        <w:ind w:firstLine="420" w:firstLineChars="200"/>
      </w:pPr>
      <w:r>
        <w:t>（3）投标报价：见评标办法前附表。</w:t>
      </w:r>
    </w:p>
    <w:p w14:paraId="6316FAA6">
      <w:pPr>
        <w:spacing w:line="500" w:lineRule="exact"/>
        <w:ind w:firstLine="420" w:firstLineChars="200"/>
        <w:outlineLvl w:val="2"/>
      </w:pPr>
      <w:r>
        <w:t>2.2.2 评标基准价计算</w:t>
      </w:r>
    </w:p>
    <w:p w14:paraId="602FEEE4">
      <w:pPr>
        <w:spacing w:line="500" w:lineRule="exact"/>
        <w:ind w:firstLine="420" w:firstLineChars="200"/>
      </w:pPr>
      <w:r>
        <w:t>评标基准价计算方法：见评标办法前附表。</w:t>
      </w:r>
    </w:p>
    <w:p w14:paraId="19A8A88F">
      <w:pPr>
        <w:spacing w:line="500" w:lineRule="exact"/>
        <w:ind w:firstLine="420" w:firstLineChars="200"/>
        <w:outlineLvl w:val="2"/>
      </w:pPr>
      <w:r>
        <w:t>2.2.3 评分标准</w:t>
      </w:r>
    </w:p>
    <w:p w14:paraId="3D621B4A">
      <w:pPr>
        <w:spacing w:line="500" w:lineRule="exact"/>
        <w:ind w:firstLine="420" w:firstLineChars="200"/>
      </w:pPr>
      <w:r>
        <w:t>（1）商务评分标准：见评标办法前附表；</w:t>
      </w:r>
    </w:p>
    <w:p w14:paraId="62C3D9C3">
      <w:pPr>
        <w:spacing w:line="500" w:lineRule="exact"/>
        <w:ind w:firstLine="420" w:firstLineChars="200"/>
      </w:pPr>
      <w:r>
        <w:t xml:space="preserve">（2）技术评分标准：见评标办法前附表； </w:t>
      </w:r>
    </w:p>
    <w:p w14:paraId="2CC6EAC4">
      <w:pPr>
        <w:spacing w:line="500" w:lineRule="exact"/>
        <w:ind w:firstLine="420" w:firstLineChars="200"/>
      </w:pPr>
      <w:r>
        <w:t>（3）投标报价评分标准：见评标办法前附表。</w:t>
      </w:r>
    </w:p>
    <w:p w14:paraId="23B4CB8A">
      <w:pPr>
        <w:pStyle w:val="3"/>
        <w:spacing w:before="0" w:after="0" w:line="500" w:lineRule="exact"/>
        <w:rPr>
          <w:rFonts w:ascii="Times New Roman" w:hAnsi="Times New Roman" w:eastAsia="黑体"/>
          <w:b w:val="0"/>
          <w:bCs w:val="0"/>
          <w:sz w:val="28"/>
          <w:szCs w:val="28"/>
        </w:rPr>
      </w:pPr>
      <w:bookmarkStart w:id="23" w:name="_Toc10586"/>
      <w:bookmarkStart w:id="24" w:name="_Toc32039"/>
      <w:bookmarkStart w:id="25" w:name="_Toc607"/>
      <w:bookmarkStart w:id="26" w:name="_Toc2840"/>
      <w:bookmarkStart w:id="27" w:name="_Toc2340"/>
      <w:bookmarkStart w:id="28" w:name="_Toc30472"/>
      <w:r>
        <w:rPr>
          <w:rFonts w:ascii="Times New Roman" w:hAnsi="Times New Roman" w:eastAsia="黑体"/>
          <w:b w:val="0"/>
          <w:bCs w:val="0"/>
          <w:sz w:val="28"/>
          <w:szCs w:val="28"/>
        </w:rPr>
        <w:t>3. 评标程序</w:t>
      </w:r>
      <w:bookmarkEnd w:id="23"/>
      <w:bookmarkEnd w:id="24"/>
      <w:bookmarkEnd w:id="25"/>
      <w:bookmarkEnd w:id="26"/>
      <w:bookmarkEnd w:id="27"/>
      <w:bookmarkEnd w:id="28"/>
    </w:p>
    <w:p w14:paraId="00EF070E">
      <w:pPr>
        <w:pStyle w:val="4"/>
        <w:spacing w:before="0" w:after="0" w:line="500" w:lineRule="exact"/>
        <w:ind w:firstLine="137"/>
        <w:rPr>
          <w:rFonts w:ascii="Times New Roman" w:hAnsi="Times New Roman"/>
        </w:rPr>
      </w:pPr>
      <w:bookmarkStart w:id="29" w:name="_Toc4716"/>
      <w:bookmarkStart w:id="30" w:name="_Toc8906"/>
      <w:bookmarkStart w:id="31" w:name="_Toc8621"/>
      <w:r>
        <w:rPr>
          <w:rFonts w:ascii="Times New Roman" w:hAnsi="Times New Roman"/>
        </w:rPr>
        <w:t>3.1 商务及技术文件初步评审</w:t>
      </w:r>
      <w:bookmarkEnd w:id="29"/>
      <w:bookmarkEnd w:id="30"/>
      <w:bookmarkEnd w:id="31"/>
    </w:p>
    <w:p w14:paraId="5A0EDC3C">
      <w:pPr>
        <w:snapToGrid w:val="0"/>
        <w:spacing w:line="500" w:lineRule="exact"/>
        <w:ind w:firstLine="420" w:firstLineChars="200"/>
        <w:rPr>
          <w:szCs w:val="21"/>
        </w:rPr>
      </w:pPr>
      <w:r>
        <w:rPr>
          <w:szCs w:val="21"/>
        </w:rPr>
        <w:t>评标委员会依据本章第2.1.1项、第2.1.2项、第2.1.3项规定的评审标准对商务及技术文件进行初步评审。有一项不符合评审标准的，评标委员会应否决其投标。</w:t>
      </w:r>
    </w:p>
    <w:p w14:paraId="3A18947B">
      <w:pPr>
        <w:keepNext/>
        <w:keepLines/>
        <w:spacing w:line="500" w:lineRule="exact"/>
        <w:jc w:val="left"/>
        <w:outlineLvl w:val="2"/>
        <w:rPr>
          <w:rFonts w:eastAsia="黑体"/>
          <w:bCs/>
          <w:sz w:val="24"/>
        </w:rPr>
      </w:pPr>
      <w:r>
        <w:rPr>
          <w:rFonts w:eastAsia="黑体"/>
          <w:bCs/>
          <w:sz w:val="24"/>
        </w:rPr>
        <w:t>3.2 商务及技术文件详细评审</w:t>
      </w:r>
    </w:p>
    <w:p w14:paraId="643DEF70">
      <w:pPr>
        <w:spacing w:line="500" w:lineRule="exact"/>
        <w:ind w:firstLine="420" w:firstLineChars="200"/>
      </w:pPr>
      <w:r>
        <w:t>3.2.1评标委员会按本章第2.2款规定的量化因素和分值进行打分，并计算出商务及技术文件综合评估得分。评标委员会成员总数为5人时，投标人本章第2.2.3项第（1）目~第（2）目的得分以评标委员会各成员的打分平均值确定。评标委员会成员总数为7人及以上时，投标人本章第2.2.3项第（1）目~第（2）目规定的得分以去掉一个最高分和一个最低分后的打分平均值确定。</w:t>
      </w:r>
    </w:p>
    <w:p w14:paraId="54EB1A3F">
      <w:pPr>
        <w:spacing w:line="500" w:lineRule="exact"/>
        <w:ind w:firstLine="420" w:firstLineChars="200"/>
      </w:pPr>
      <w:r>
        <w:t>（1）按本章第2.2.3（1）目规定的评审因素和分值对商务部分计算出得分A；</w:t>
      </w:r>
    </w:p>
    <w:p w14:paraId="6837F9B1">
      <w:pPr>
        <w:spacing w:line="500" w:lineRule="exact"/>
        <w:ind w:firstLine="420" w:firstLineChars="200"/>
      </w:pPr>
      <w:r>
        <w:t>（2）按本章第2.2.3（2）目规定的评审因素和分值对技术部分计算出得分B。</w:t>
      </w:r>
    </w:p>
    <w:p w14:paraId="529D9EC0">
      <w:pPr>
        <w:spacing w:line="500" w:lineRule="exact"/>
        <w:ind w:firstLine="420" w:firstLineChars="200"/>
      </w:pPr>
      <w:r>
        <w:t>3.2.2评分分值计算保留小数点后两位，小数点后第三位“四舍五入”。</w:t>
      </w:r>
    </w:p>
    <w:p w14:paraId="0BF15B7F">
      <w:pPr>
        <w:spacing w:line="500" w:lineRule="exact"/>
        <w:ind w:firstLine="420" w:firstLineChars="200"/>
      </w:pPr>
      <w:r>
        <w:t>3.2.3投标人商务及技术文件得分=A+B。</w:t>
      </w:r>
    </w:p>
    <w:p w14:paraId="0A41960F">
      <w:pPr>
        <w:pStyle w:val="4"/>
        <w:spacing w:before="0" w:after="0" w:line="500" w:lineRule="exact"/>
        <w:ind w:firstLine="137"/>
        <w:rPr>
          <w:rFonts w:ascii="Times New Roman" w:hAnsi="Times New Roman"/>
        </w:rPr>
      </w:pPr>
      <w:r>
        <w:rPr>
          <w:rFonts w:ascii="Times New Roman" w:hAnsi="Times New Roman"/>
        </w:rPr>
        <w:t>3.3 报价文件公布</w:t>
      </w:r>
    </w:p>
    <w:p w14:paraId="6CA564E1">
      <w:pPr>
        <w:spacing w:line="500" w:lineRule="exact"/>
        <w:ind w:firstLine="420" w:firstLineChars="200"/>
      </w:pPr>
      <w:r>
        <w:t>公布投标人名称、标段名称、投标报价及其他内容。</w:t>
      </w:r>
    </w:p>
    <w:p w14:paraId="73CF1B33">
      <w:pPr>
        <w:pStyle w:val="4"/>
        <w:spacing w:before="0" w:after="0" w:line="500" w:lineRule="exact"/>
        <w:ind w:firstLine="137"/>
        <w:rPr>
          <w:rFonts w:ascii="Times New Roman" w:hAnsi="Times New Roman"/>
        </w:rPr>
      </w:pPr>
      <w:r>
        <w:rPr>
          <w:rFonts w:ascii="Times New Roman" w:hAnsi="Times New Roman"/>
        </w:rPr>
        <w:t>3.4 报价文件初步评审</w:t>
      </w:r>
    </w:p>
    <w:p w14:paraId="15CB0B21">
      <w:pPr>
        <w:snapToGrid w:val="0"/>
        <w:spacing w:line="500" w:lineRule="exact"/>
        <w:ind w:firstLine="420" w:firstLineChars="200"/>
      </w:pPr>
      <w:r>
        <w:t xml:space="preserve">3.4.1 </w:t>
      </w:r>
      <w:r>
        <w:rPr>
          <w:szCs w:val="21"/>
        </w:rPr>
        <w:t>评标委员会依据本章第2.1.1款、第2.1.3款规定的评审标准对报价文件进行评审。有一项不符合评审标准的，评标委员会应否决其投标。</w:t>
      </w:r>
    </w:p>
    <w:p w14:paraId="6FD15FB0">
      <w:pPr>
        <w:snapToGrid w:val="0"/>
        <w:spacing w:line="500" w:lineRule="exact"/>
        <w:ind w:firstLine="420" w:firstLineChars="200"/>
      </w:pPr>
      <w:r>
        <w:t xml:space="preserve">3.4.2 投标报价有算术错误及其他错误的，评标委员会按以下原则对投标报价进行修正，并要求投标人书面澄清确认。投标人拒不澄清确认的，评标委员会应当否决其投标： </w:t>
      </w:r>
    </w:p>
    <w:p w14:paraId="73A0B747">
      <w:pPr>
        <w:snapToGrid w:val="0"/>
        <w:spacing w:line="500" w:lineRule="exact"/>
        <w:ind w:firstLine="420" w:firstLineChars="200"/>
      </w:pPr>
      <w:r>
        <w:t>（1）投标文件中的大写金额与小写金额不一致的，以大写金额为准；</w:t>
      </w:r>
    </w:p>
    <w:p w14:paraId="6759E7FC">
      <w:pPr>
        <w:snapToGrid w:val="0"/>
        <w:spacing w:line="500" w:lineRule="exact"/>
        <w:ind w:firstLine="420" w:firstLineChars="200"/>
      </w:pPr>
      <w:r>
        <w:t>（2）总价金额与单价金额不一致的，以单价金额为准，但单价金额小数点有明显错误的除外；</w:t>
      </w:r>
    </w:p>
    <w:p w14:paraId="20B095DD">
      <w:pPr>
        <w:snapToGrid w:val="0"/>
        <w:spacing w:line="500" w:lineRule="exact"/>
        <w:ind w:firstLine="420" w:firstLineChars="200"/>
      </w:pPr>
      <w:r>
        <w:t>（3）投标报价为各分项报价金额之和，投标报价与分项报价的合价不一致的，应以各分项合价累计数为准，修正投标报价；</w:t>
      </w:r>
    </w:p>
    <w:p w14:paraId="03011DE2">
      <w:pPr>
        <w:snapToGrid w:val="0"/>
        <w:spacing w:line="500" w:lineRule="exact"/>
        <w:ind w:firstLine="420" w:firstLineChars="200"/>
      </w:pPr>
      <w:r>
        <w:t>（4）如果分项报价中存在缺漏项，则视为缺漏项价格已包含在其他分项报价之中。</w:t>
      </w:r>
    </w:p>
    <w:p w14:paraId="7D128A51">
      <w:pPr>
        <w:snapToGrid w:val="0"/>
        <w:spacing w:line="500" w:lineRule="exact"/>
        <w:ind w:firstLine="420" w:firstLineChars="200"/>
      </w:pPr>
      <w:r>
        <w:t>3.4.3投标人投标报价明显缺乏竞争性的，评标委员会可以否决所有投标。</w:t>
      </w:r>
    </w:p>
    <w:p w14:paraId="0ABBC36E">
      <w:pPr>
        <w:pStyle w:val="4"/>
        <w:spacing w:before="0" w:after="0" w:line="500" w:lineRule="exact"/>
        <w:ind w:firstLine="137"/>
        <w:rPr>
          <w:rFonts w:ascii="Times New Roman" w:hAnsi="Times New Roman"/>
        </w:rPr>
      </w:pPr>
      <w:r>
        <w:rPr>
          <w:rFonts w:ascii="Times New Roman" w:hAnsi="Times New Roman"/>
        </w:rPr>
        <w:t>3.5 报价文件详细评审</w:t>
      </w:r>
    </w:p>
    <w:p w14:paraId="79F94834">
      <w:pPr>
        <w:spacing w:line="500" w:lineRule="exact"/>
        <w:ind w:firstLine="420" w:firstLineChars="200"/>
      </w:pPr>
      <w:r>
        <w:t>3.5.1评标委员会按本章第2.2款规定的量化因素和分值进行打分，并计算出报价文件综合评估得分。按本章第2.2.3（3）目规定的评审因素和分值对投标报价计算出得分C。</w:t>
      </w:r>
    </w:p>
    <w:p w14:paraId="35A78F43">
      <w:pPr>
        <w:spacing w:line="500" w:lineRule="exact"/>
        <w:ind w:firstLine="420" w:firstLineChars="200"/>
      </w:pPr>
      <w:r>
        <w:t>3.5.2评分分值计算保留小数点后两位，小数点后第三位“四舍五入”。</w:t>
      </w:r>
    </w:p>
    <w:p w14:paraId="1E64D6C9">
      <w:pPr>
        <w:spacing w:line="500" w:lineRule="exact"/>
        <w:ind w:firstLine="420" w:firstLineChars="200"/>
      </w:pPr>
      <w:r>
        <w:t>3.5.3投标人得分=A+B+C。</w:t>
      </w:r>
    </w:p>
    <w:p w14:paraId="756BF500">
      <w:pPr>
        <w:spacing w:line="500" w:lineRule="exact"/>
        <w:ind w:firstLine="420" w:firstLineChars="200"/>
      </w:pPr>
      <w:r>
        <w:t>3.5.4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651EE4A">
      <w:pPr>
        <w:keepNext/>
        <w:keepLines/>
        <w:spacing w:line="500" w:lineRule="exact"/>
        <w:jc w:val="left"/>
        <w:outlineLvl w:val="2"/>
        <w:rPr>
          <w:rFonts w:eastAsia="黑体"/>
          <w:bCs/>
          <w:sz w:val="24"/>
        </w:rPr>
      </w:pPr>
      <w:r>
        <w:rPr>
          <w:rFonts w:eastAsia="黑体"/>
          <w:bCs/>
          <w:sz w:val="24"/>
        </w:rPr>
        <w:t>3.6 否决投标的其他情形</w:t>
      </w:r>
    </w:p>
    <w:p w14:paraId="7C30B2B0">
      <w:pPr>
        <w:spacing w:line="500" w:lineRule="exact"/>
        <w:ind w:firstLine="352" w:firstLineChars="168"/>
      </w:pPr>
      <w:r>
        <w:t>3.6.1 评标委员会应对在评标过程中发现的投标人与投标人之间、投标人与招标人之间存在的串通投标的情形进行评审和认定。投标人存在串通投标、弄虚作假、行贿等违法行为的，评标委员会应否决其投标。</w:t>
      </w:r>
    </w:p>
    <w:p w14:paraId="511B8511">
      <w:pPr>
        <w:spacing w:line="500" w:lineRule="exact"/>
        <w:ind w:firstLine="352" w:firstLineChars="168"/>
        <w:rPr>
          <w:color w:val="000000"/>
        </w:rPr>
      </w:pPr>
      <w:r>
        <w:rPr>
          <w:color w:val="000000"/>
        </w:rPr>
        <w:t>（1）有下列情形之一的，属于投标人相互串通投标：</w:t>
      </w:r>
    </w:p>
    <w:p w14:paraId="190AC25A">
      <w:pPr>
        <w:spacing w:line="500" w:lineRule="exact"/>
        <w:ind w:firstLine="352" w:firstLineChars="168"/>
        <w:rPr>
          <w:color w:val="000000"/>
        </w:rPr>
      </w:pPr>
      <w:r>
        <w:rPr>
          <w:color w:val="000000"/>
        </w:rPr>
        <w:t>a.投标人之间协商投标报价等投标文件的实质性内容；</w:t>
      </w:r>
    </w:p>
    <w:p w14:paraId="6C503F82">
      <w:pPr>
        <w:spacing w:line="500" w:lineRule="exact"/>
        <w:ind w:firstLine="352" w:firstLineChars="168"/>
        <w:rPr>
          <w:color w:val="000000"/>
        </w:rPr>
      </w:pPr>
      <w:r>
        <w:rPr>
          <w:color w:val="000000"/>
        </w:rPr>
        <w:t>b.投标人之间约定中标人；</w:t>
      </w:r>
    </w:p>
    <w:p w14:paraId="50E97BD2">
      <w:pPr>
        <w:spacing w:line="500" w:lineRule="exact"/>
        <w:ind w:firstLine="352" w:firstLineChars="168"/>
        <w:rPr>
          <w:color w:val="000000"/>
        </w:rPr>
      </w:pPr>
      <w:r>
        <w:rPr>
          <w:color w:val="000000"/>
        </w:rPr>
        <w:t>c.投标人之间约定部分投标人放弃投标或中标；</w:t>
      </w:r>
    </w:p>
    <w:p w14:paraId="2479C9CA">
      <w:pPr>
        <w:spacing w:line="500" w:lineRule="exact"/>
        <w:ind w:firstLine="352" w:firstLineChars="168"/>
        <w:rPr>
          <w:color w:val="000000"/>
        </w:rPr>
      </w:pPr>
      <w:r>
        <w:rPr>
          <w:color w:val="000000"/>
        </w:rPr>
        <w:t>d.属于同一集团、协会、商会等组织成员的投标人按照该组织要求协同投标；</w:t>
      </w:r>
    </w:p>
    <w:p w14:paraId="093D3EF5">
      <w:pPr>
        <w:spacing w:line="500" w:lineRule="exact"/>
        <w:ind w:firstLine="352" w:firstLineChars="168"/>
        <w:rPr>
          <w:color w:val="000000"/>
        </w:rPr>
      </w:pPr>
      <w:r>
        <w:rPr>
          <w:color w:val="000000"/>
        </w:rPr>
        <w:t>e.投标人之间为谋取中标或排斥特定投标人而采取的其他联合行动。</w:t>
      </w:r>
    </w:p>
    <w:p w14:paraId="1CDA17BE">
      <w:pPr>
        <w:spacing w:line="500" w:lineRule="exact"/>
        <w:ind w:firstLine="352" w:firstLineChars="168"/>
        <w:rPr>
          <w:color w:val="000000"/>
        </w:rPr>
      </w:pPr>
      <w:r>
        <w:rPr>
          <w:color w:val="000000"/>
        </w:rPr>
        <w:t>（2）有下列情形之一的，视为投标人相互串通投标：</w:t>
      </w:r>
    </w:p>
    <w:p w14:paraId="5DA88053">
      <w:pPr>
        <w:spacing w:line="500" w:lineRule="exact"/>
        <w:ind w:firstLine="352" w:firstLineChars="168"/>
        <w:rPr>
          <w:color w:val="000000"/>
        </w:rPr>
      </w:pPr>
      <w:r>
        <w:rPr>
          <w:color w:val="000000"/>
        </w:rPr>
        <w:t>a.不同投标人的投标文件由同一单位或个人编制；</w:t>
      </w:r>
    </w:p>
    <w:p w14:paraId="4D8CBB34">
      <w:pPr>
        <w:spacing w:line="500" w:lineRule="exact"/>
        <w:ind w:firstLine="352" w:firstLineChars="168"/>
        <w:rPr>
          <w:color w:val="000000"/>
        </w:rPr>
      </w:pPr>
      <w:r>
        <w:rPr>
          <w:color w:val="000000"/>
        </w:rPr>
        <w:t>b.不同投标人委托同一单位或个人办理投标事宜；</w:t>
      </w:r>
    </w:p>
    <w:p w14:paraId="60229933">
      <w:pPr>
        <w:spacing w:line="500" w:lineRule="exact"/>
        <w:ind w:firstLine="352" w:firstLineChars="168"/>
        <w:rPr>
          <w:color w:val="000000"/>
        </w:rPr>
      </w:pPr>
      <w:r>
        <w:rPr>
          <w:color w:val="000000"/>
        </w:rPr>
        <w:t>c.不同投标人的投标文件载明的项目管理成员为同一人；</w:t>
      </w:r>
    </w:p>
    <w:p w14:paraId="648263B6">
      <w:pPr>
        <w:spacing w:line="500" w:lineRule="exact"/>
        <w:ind w:firstLine="352" w:firstLineChars="168"/>
        <w:rPr>
          <w:color w:val="000000"/>
        </w:rPr>
      </w:pPr>
      <w:r>
        <w:rPr>
          <w:color w:val="000000"/>
        </w:rPr>
        <w:t>d.不同投标人的投标文件异常一致或投标报价呈规律性差异；</w:t>
      </w:r>
    </w:p>
    <w:p w14:paraId="34BB4AEE">
      <w:pPr>
        <w:spacing w:line="500" w:lineRule="exact"/>
        <w:ind w:firstLine="352" w:firstLineChars="168"/>
        <w:rPr>
          <w:color w:val="000000"/>
        </w:rPr>
      </w:pPr>
      <w:r>
        <w:rPr>
          <w:color w:val="000000"/>
        </w:rPr>
        <w:t>e.不同投标人的投标文件相互混装；</w:t>
      </w:r>
    </w:p>
    <w:p w14:paraId="087CB631">
      <w:pPr>
        <w:spacing w:line="500" w:lineRule="exact"/>
        <w:ind w:firstLine="352" w:firstLineChars="168"/>
        <w:rPr>
          <w:color w:val="000000"/>
        </w:rPr>
      </w:pPr>
      <w:r>
        <w:rPr>
          <w:color w:val="000000"/>
        </w:rPr>
        <w:t>f.不同投标人的投标保证金从同一单位或个人的账户转出。</w:t>
      </w:r>
    </w:p>
    <w:p w14:paraId="76BBE84E">
      <w:pPr>
        <w:spacing w:line="500" w:lineRule="exact"/>
        <w:ind w:firstLine="352" w:firstLineChars="168"/>
        <w:rPr>
          <w:color w:val="000000"/>
        </w:rPr>
      </w:pPr>
      <w:r>
        <w:rPr>
          <w:color w:val="000000"/>
        </w:rPr>
        <w:t>（3）有下列情形之一的，属于招标人与投标人串通投标：</w:t>
      </w:r>
    </w:p>
    <w:p w14:paraId="50CC3059">
      <w:pPr>
        <w:spacing w:line="500" w:lineRule="exact"/>
        <w:ind w:firstLine="352" w:firstLineChars="168"/>
        <w:rPr>
          <w:color w:val="000000"/>
        </w:rPr>
      </w:pPr>
      <w:r>
        <w:rPr>
          <w:color w:val="000000"/>
        </w:rPr>
        <w:t>a.招标人在开标前开启投标文件并将有关信息泄露给其他投标人；</w:t>
      </w:r>
    </w:p>
    <w:p w14:paraId="7CD1BA20">
      <w:pPr>
        <w:spacing w:line="500" w:lineRule="exact"/>
        <w:ind w:firstLine="352" w:firstLineChars="168"/>
        <w:rPr>
          <w:color w:val="000000"/>
        </w:rPr>
      </w:pPr>
      <w:r>
        <w:rPr>
          <w:color w:val="000000"/>
        </w:rPr>
        <w:t>b.招标人直接或间接向投标人泄露标底、评标委员会成员等信息；</w:t>
      </w:r>
    </w:p>
    <w:p w14:paraId="1867FD61">
      <w:pPr>
        <w:spacing w:line="500" w:lineRule="exact"/>
        <w:ind w:firstLine="352" w:firstLineChars="168"/>
        <w:rPr>
          <w:color w:val="000000"/>
        </w:rPr>
      </w:pPr>
      <w:r>
        <w:rPr>
          <w:color w:val="000000"/>
        </w:rPr>
        <w:t>c.招标人明示或暗示投标人压低或抬高投标报价；</w:t>
      </w:r>
    </w:p>
    <w:p w14:paraId="477FA2B2">
      <w:pPr>
        <w:spacing w:line="500" w:lineRule="exact"/>
        <w:ind w:firstLine="352" w:firstLineChars="168"/>
        <w:rPr>
          <w:color w:val="000000"/>
        </w:rPr>
      </w:pPr>
      <w:r>
        <w:rPr>
          <w:color w:val="000000"/>
        </w:rPr>
        <w:t>d.招标人授意投标人撤换、修改投标文件；</w:t>
      </w:r>
    </w:p>
    <w:p w14:paraId="336803EF">
      <w:pPr>
        <w:spacing w:line="500" w:lineRule="exact"/>
        <w:ind w:firstLine="352" w:firstLineChars="168"/>
        <w:rPr>
          <w:color w:val="000000"/>
        </w:rPr>
      </w:pPr>
      <w:r>
        <w:rPr>
          <w:color w:val="000000"/>
        </w:rPr>
        <w:t>e.招标人明示或暗示投标人为特定投标人中标提供方便；</w:t>
      </w:r>
    </w:p>
    <w:p w14:paraId="386292E6">
      <w:pPr>
        <w:spacing w:line="500" w:lineRule="exact"/>
        <w:ind w:firstLine="352" w:firstLineChars="168"/>
        <w:rPr>
          <w:color w:val="000000"/>
        </w:rPr>
      </w:pPr>
      <w:r>
        <w:rPr>
          <w:color w:val="000000"/>
        </w:rPr>
        <w:t>f.招标人与投标人为谋求特定投标人中标而采取的其他串通行为。</w:t>
      </w:r>
    </w:p>
    <w:p w14:paraId="3F310BA7">
      <w:pPr>
        <w:spacing w:line="500" w:lineRule="exact"/>
        <w:ind w:firstLine="352" w:firstLineChars="168"/>
        <w:rPr>
          <w:color w:val="000000"/>
        </w:rPr>
      </w:pPr>
      <w:r>
        <w:rPr>
          <w:color w:val="000000"/>
        </w:rPr>
        <w:t>（4）投标人有下列情形之一的，属于弄虚作假的行为：</w:t>
      </w:r>
    </w:p>
    <w:p w14:paraId="07C8E3DB">
      <w:pPr>
        <w:spacing w:line="500" w:lineRule="exact"/>
        <w:ind w:firstLine="352" w:firstLineChars="168"/>
        <w:rPr>
          <w:color w:val="000000"/>
        </w:rPr>
      </w:pPr>
      <w:r>
        <w:rPr>
          <w:color w:val="000000"/>
        </w:rPr>
        <w:t>a.使用通过受让或租借等方式获取的资格、资质证书投标；</w:t>
      </w:r>
    </w:p>
    <w:p w14:paraId="61C6C6A7">
      <w:pPr>
        <w:spacing w:line="500" w:lineRule="exact"/>
        <w:ind w:firstLine="352" w:firstLineChars="168"/>
        <w:rPr>
          <w:color w:val="000000"/>
        </w:rPr>
      </w:pPr>
      <w:r>
        <w:rPr>
          <w:color w:val="000000"/>
        </w:rPr>
        <w:t>b.使用伪造、变造的许可证件；</w:t>
      </w:r>
    </w:p>
    <w:p w14:paraId="1CF50ADE">
      <w:pPr>
        <w:spacing w:line="500" w:lineRule="exact"/>
        <w:ind w:firstLine="352" w:firstLineChars="168"/>
        <w:rPr>
          <w:color w:val="000000"/>
        </w:rPr>
      </w:pPr>
      <w:r>
        <w:rPr>
          <w:color w:val="000000"/>
        </w:rPr>
        <w:t>c.提供虚假的财务状况或业绩；</w:t>
      </w:r>
    </w:p>
    <w:p w14:paraId="63D3CA26">
      <w:pPr>
        <w:spacing w:line="500" w:lineRule="exact"/>
        <w:ind w:firstLine="352" w:firstLineChars="168"/>
        <w:rPr>
          <w:color w:val="000000"/>
        </w:rPr>
      </w:pPr>
      <w:r>
        <w:rPr>
          <w:color w:val="000000"/>
        </w:rPr>
        <w:t>d.提供虚假的项目经理或主要技术人员简历、劳动关系证明；</w:t>
      </w:r>
    </w:p>
    <w:p w14:paraId="78B114A3">
      <w:pPr>
        <w:spacing w:line="500" w:lineRule="exact"/>
        <w:ind w:firstLine="352" w:firstLineChars="168"/>
        <w:rPr>
          <w:color w:val="000000"/>
        </w:rPr>
      </w:pPr>
      <w:r>
        <w:rPr>
          <w:color w:val="000000"/>
        </w:rPr>
        <w:t>e.提供虚假的信用状况；</w:t>
      </w:r>
    </w:p>
    <w:p w14:paraId="3472EFC9">
      <w:pPr>
        <w:spacing w:line="500" w:lineRule="exact"/>
        <w:ind w:firstLine="352" w:firstLineChars="168"/>
        <w:rPr>
          <w:color w:val="000000"/>
        </w:rPr>
      </w:pPr>
      <w:r>
        <w:rPr>
          <w:color w:val="000000"/>
        </w:rPr>
        <w:t>f.其他弄虚作假的行为。</w:t>
      </w:r>
    </w:p>
    <w:p w14:paraId="1CE78432">
      <w:pPr>
        <w:keepNext/>
        <w:keepLines/>
        <w:spacing w:line="500" w:lineRule="exact"/>
        <w:jc w:val="left"/>
        <w:outlineLvl w:val="2"/>
        <w:rPr>
          <w:rFonts w:eastAsia="黑体"/>
          <w:bCs/>
          <w:sz w:val="24"/>
        </w:rPr>
      </w:pPr>
      <w:r>
        <w:rPr>
          <w:rFonts w:eastAsia="黑体"/>
          <w:bCs/>
          <w:sz w:val="24"/>
        </w:rPr>
        <w:t>3.7 投标文件的澄清、说明或补正</w:t>
      </w:r>
    </w:p>
    <w:p w14:paraId="6E0CB90B">
      <w:pPr>
        <w:adjustRightInd w:val="0"/>
        <w:snapToGrid w:val="0"/>
        <w:spacing w:line="500" w:lineRule="exact"/>
        <w:ind w:firstLine="420" w:firstLineChars="200"/>
        <w:rPr>
          <w:color w:val="000000"/>
        </w:rPr>
      </w:pPr>
      <w:r>
        <w:rPr>
          <w:color w:val="000000"/>
        </w:rPr>
        <w:t>3.7.1 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14:paraId="4FA03F53">
      <w:pPr>
        <w:spacing w:line="500" w:lineRule="exact"/>
        <w:ind w:firstLine="420" w:firstLineChars="200"/>
        <w:rPr>
          <w:color w:val="000000"/>
        </w:rPr>
      </w:pPr>
      <w:r>
        <w:rPr>
          <w:color w:val="000000"/>
        </w:rPr>
        <w:t>3.7.2 投标人须在规定的时间内作出澄清、说明或补正且不得超出投标文件的范围且不得改变投标文件的实质性内容，并构成投标文件的组成部分。</w:t>
      </w:r>
    </w:p>
    <w:p w14:paraId="589CD5EF">
      <w:pPr>
        <w:spacing w:line="500" w:lineRule="exact"/>
        <w:ind w:firstLine="420" w:firstLineChars="200"/>
        <w:rPr>
          <w:color w:val="000000"/>
        </w:rPr>
      </w:pPr>
      <w:r>
        <w:rPr>
          <w:color w:val="000000"/>
        </w:rPr>
        <w:t>3.7.3 评标委员会对投标人提交的澄清、说明或补正有疑问的，可以要求投标人在规定的时间内进一步澄清、说明或补正，直至满足评标委员会的要求。</w:t>
      </w:r>
    </w:p>
    <w:p w14:paraId="5D752464">
      <w:pPr>
        <w:keepNext/>
        <w:keepLines/>
        <w:spacing w:line="500" w:lineRule="exact"/>
        <w:jc w:val="left"/>
        <w:outlineLvl w:val="2"/>
        <w:rPr>
          <w:rFonts w:eastAsia="黑体"/>
          <w:bCs/>
          <w:sz w:val="24"/>
        </w:rPr>
      </w:pPr>
      <w:r>
        <w:rPr>
          <w:rFonts w:eastAsia="黑体"/>
          <w:bCs/>
          <w:sz w:val="24"/>
        </w:rPr>
        <w:t>3.8 评标结果</w:t>
      </w:r>
    </w:p>
    <w:p w14:paraId="79164E44">
      <w:pPr>
        <w:spacing w:line="500" w:lineRule="exact"/>
        <w:ind w:firstLine="352" w:firstLineChars="168"/>
        <w:rPr>
          <w:szCs w:val="21"/>
        </w:rPr>
      </w:pPr>
      <w:r>
        <w:rPr>
          <w:szCs w:val="22"/>
        </w:rPr>
        <w:t xml:space="preserve">3.8.1 </w:t>
      </w:r>
      <w:r>
        <w:t>除第二章投标人须知前附表授权直接确定中标人外，评标委员会按照得分由高到低的顺序推荐中标候选人，并标明排列顺序。</w:t>
      </w:r>
    </w:p>
    <w:p w14:paraId="7EBE267C">
      <w:pPr>
        <w:spacing w:line="500" w:lineRule="exact"/>
        <w:ind w:firstLine="352" w:firstLineChars="168"/>
        <w:rPr>
          <w:szCs w:val="21"/>
        </w:rPr>
      </w:pPr>
      <w:r>
        <w:rPr>
          <w:szCs w:val="21"/>
        </w:rPr>
        <w:t>3.8.2 评标委员会完成评标后，应当向招标人提交评标报告。</w:t>
      </w:r>
      <w:r>
        <w:rPr>
          <w:color w:val="000000"/>
          <w:szCs w:val="22"/>
        </w:rPr>
        <w:t>评标报告应当如实记载以下内容：</w:t>
      </w:r>
    </w:p>
    <w:p w14:paraId="2F05D12D">
      <w:pPr>
        <w:adjustRightInd w:val="0"/>
        <w:snapToGrid w:val="0"/>
        <w:spacing w:line="500" w:lineRule="exact"/>
        <w:ind w:firstLine="420" w:firstLineChars="200"/>
        <w:textAlignment w:val="baseline"/>
        <w:rPr>
          <w:color w:val="000000"/>
          <w:szCs w:val="22"/>
        </w:rPr>
      </w:pPr>
      <w:r>
        <w:rPr>
          <w:color w:val="000000"/>
          <w:szCs w:val="22"/>
        </w:rPr>
        <w:t>（1）基本情况和数据表；</w:t>
      </w:r>
    </w:p>
    <w:p w14:paraId="15340F9A">
      <w:pPr>
        <w:adjustRightInd w:val="0"/>
        <w:snapToGrid w:val="0"/>
        <w:spacing w:line="500" w:lineRule="exact"/>
        <w:ind w:firstLine="420" w:firstLineChars="200"/>
        <w:textAlignment w:val="baseline"/>
        <w:rPr>
          <w:color w:val="000000"/>
          <w:szCs w:val="22"/>
        </w:rPr>
      </w:pPr>
      <w:r>
        <w:rPr>
          <w:color w:val="000000"/>
          <w:szCs w:val="22"/>
        </w:rPr>
        <w:t>（2）评标委员会成员名单；</w:t>
      </w:r>
    </w:p>
    <w:p w14:paraId="73B4114E">
      <w:pPr>
        <w:adjustRightInd w:val="0"/>
        <w:snapToGrid w:val="0"/>
        <w:spacing w:line="500" w:lineRule="exact"/>
        <w:ind w:firstLine="420" w:firstLineChars="200"/>
        <w:textAlignment w:val="baseline"/>
        <w:rPr>
          <w:color w:val="000000"/>
          <w:szCs w:val="22"/>
        </w:rPr>
      </w:pPr>
      <w:r>
        <w:rPr>
          <w:color w:val="000000"/>
          <w:szCs w:val="22"/>
        </w:rPr>
        <w:t>（3）开标记录；</w:t>
      </w:r>
    </w:p>
    <w:p w14:paraId="71E344A6">
      <w:pPr>
        <w:adjustRightInd w:val="0"/>
        <w:snapToGrid w:val="0"/>
        <w:spacing w:line="500" w:lineRule="exact"/>
        <w:ind w:firstLine="420" w:firstLineChars="200"/>
        <w:textAlignment w:val="baseline"/>
        <w:rPr>
          <w:color w:val="000000"/>
          <w:szCs w:val="22"/>
        </w:rPr>
      </w:pPr>
      <w:r>
        <w:rPr>
          <w:color w:val="000000"/>
          <w:szCs w:val="22"/>
        </w:rPr>
        <w:t>（4）符合要求的投标人一览表；</w:t>
      </w:r>
    </w:p>
    <w:p w14:paraId="664B7F29">
      <w:pPr>
        <w:adjustRightInd w:val="0"/>
        <w:snapToGrid w:val="0"/>
        <w:spacing w:line="500" w:lineRule="exact"/>
        <w:ind w:firstLine="420" w:firstLineChars="200"/>
        <w:textAlignment w:val="baseline"/>
        <w:rPr>
          <w:color w:val="000000"/>
          <w:szCs w:val="22"/>
        </w:rPr>
      </w:pPr>
      <w:r>
        <w:rPr>
          <w:color w:val="000000"/>
          <w:szCs w:val="22"/>
        </w:rPr>
        <w:t>（5）否决投标情况说明；</w:t>
      </w:r>
    </w:p>
    <w:p w14:paraId="524BAA72">
      <w:pPr>
        <w:adjustRightInd w:val="0"/>
        <w:snapToGrid w:val="0"/>
        <w:spacing w:line="500" w:lineRule="exact"/>
        <w:ind w:firstLine="420" w:firstLineChars="200"/>
        <w:textAlignment w:val="baseline"/>
        <w:rPr>
          <w:color w:val="000000"/>
          <w:szCs w:val="22"/>
        </w:rPr>
      </w:pPr>
      <w:r>
        <w:rPr>
          <w:color w:val="000000"/>
          <w:szCs w:val="22"/>
        </w:rPr>
        <w:t>（6）评标标准、评标方法或者评标因素一览表；</w:t>
      </w:r>
    </w:p>
    <w:p w14:paraId="45B1B533">
      <w:pPr>
        <w:adjustRightInd w:val="0"/>
        <w:snapToGrid w:val="0"/>
        <w:spacing w:line="500" w:lineRule="exact"/>
        <w:ind w:firstLine="420" w:firstLineChars="200"/>
        <w:textAlignment w:val="baseline"/>
        <w:rPr>
          <w:color w:val="000000"/>
          <w:szCs w:val="22"/>
        </w:rPr>
      </w:pPr>
      <w:r>
        <w:rPr>
          <w:color w:val="000000"/>
          <w:szCs w:val="22"/>
        </w:rPr>
        <w:t>（7）评分比较一览表；</w:t>
      </w:r>
    </w:p>
    <w:p w14:paraId="61EEFCCC">
      <w:pPr>
        <w:adjustRightInd w:val="0"/>
        <w:snapToGrid w:val="0"/>
        <w:spacing w:line="500" w:lineRule="exact"/>
        <w:ind w:firstLine="420" w:firstLineChars="200"/>
        <w:textAlignment w:val="baseline"/>
        <w:rPr>
          <w:color w:val="000000"/>
          <w:szCs w:val="22"/>
        </w:rPr>
      </w:pPr>
      <w:r>
        <w:rPr>
          <w:color w:val="000000"/>
          <w:szCs w:val="22"/>
        </w:rPr>
        <w:t>（8）经评审的投标人排序；</w:t>
      </w:r>
    </w:p>
    <w:p w14:paraId="6E8F58D8">
      <w:pPr>
        <w:adjustRightInd w:val="0"/>
        <w:snapToGrid w:val="0"/>
        <w:spacing w:line="500" w:lineRule="exact"/>
        <w:ind w:firstLine="420" w:firstLineChars="200"/>
        <w:textAlignment w:val="baseline"/>
        <w:rPr>
          <w:color w:val="000000"/>
          <w:szCs w:val="22"/>
        </w:rPr>
      </w:pPr>
      <w:r>
        <w:rPr>
          <w:color w:val="000000"/>
          <w:szCs w:val="22"/>
        </w:rPr>
        <w:t>（9）推荐的中标候选人名单与签订合同前要处理的事宜；</w:t>
      </w:r>
    </w:p>
    <w:p w14:paraId="214D49BB">
      <w:pPr>
        <w:snapToGrid w:val="0"/>
        <w:spacing w:line="500" w:lineRule="exact"/>
        <w:ind w:firstLine="420" w:firstLineChars="200"/>
        <w:rPr>
          <w:rFonts w:eastAsia="黑体"/>
          <w:b/>
        </w:rPr>
      </w:pPr>
      <w:r>
        <w:rPr>
          <w:color w:val="000000"/>
          <w:szCs w:val="22"/>
        </w:rPr>
        <w:t>（10）澄清、说明事项纪要</w:t>
      </w:r>
      <w:r>
        <w:rPr>
          <w:szCs w:val="21"/>
        </w:rPr>
        <w:t>。</w:t>
      </w:r>
      <w:bookmarkStart w:id="32" w:name="_Toc29061"/>
    </w:p>
    <w:bookmarkEnd w:id="32"/>
    <w:p w14:paraId="56BA14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6CB102E">
      <w:pPr>
        <w:pStyle w:val="6"/>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8C682"/>
    <w:multiLevelType w:val="singleLevel"/>
    <w:tmpl w:val="2FD8C682"/>
    <w:lvl w:ilvl="0" w:tentative="0">
      <w:start w:val="3"/>
      <w:numFmt w:val="chineseCounting"/>
      <w:suff w:val="space"/>
      <w:lvlText w:val="第%1章"/>
      <w:lvlJc w:val="left"/>
      <w:rPr>
        <w:rFonts w:hint="eastAsia"/>
      </w:rPr>
    </w:lvl>
  </w:abstractNum>
  <w:abstractNum w:abstractNumId="1">
    <w:nsid w:val="356ADE44"/>
    <w:multiLevelType w:val="singleLevel"/>
    <w:tmpl w:val="356ADE4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ZGVmY2IxNjRkZDYwZDc3MzhlZWY5MzIzZTEyNmUifQ=="/>
  </w:docVars>
  <w:rsids>
    <w:rsidRoot w:val="00000000"/>
    <w:rsid w:val="5419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Indent"/>
    <w:basedOn w:val="1"/>
    <w:qFormat/>
    <w:uiPriority w:val="0"/>
    <w:pPr>
      <w:ind w:firstLine="560" w:firstLineChars="200"/>
    </w:pPr>
    <w:rPr>
      <w:rFonts w:ascii="宋体" w:hAnsi="宋体"/>
      <w:bCs/>
      <w:sz w:val="28"/>
      <w:szCs w:val="32"/>
    </w:rPr>
  </w:style>
  <w:style w:type="paragraph" w:styleId="6">
    <w:name w:val="footnote text"/>
    <w:basedOn w:val="1"/>
    <w:unhideWhenUsed/>
    <w:qFormat/>
    <w:uiPriority w:val="0"/>
    <w:pPr>
      <w:snapToGrid w:val="0"/>
      <w:jc w:val="left"/>
    </w:pPr>
    <w:rPr>
      <w:sz w:val="18"/>
      <w:szCs w:val="18"/>
    </w:rPr>
  </w:style>
  <w:style w:type="paragraph" w:styleId="7">
    <w:name w:val="Body Text First Indent 2"/>
    <w:basedOn w:val="5"/>
    <w:unhideWhenUsed/>
    <w:qFormat/>
    <w:uiPriority w:val="99"/>
    <w:pPr>
      <w:ind w:firstLine="420" w:firstLineChars="200"/>
    </w:pPr>
  </w:style>
  <w:style w:type="character" w:styleId="10">
    <w:name w:val="footnote reference"/>
    <w:unhideWhenUsed/>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2025-01-03T07:04:26Z</dcterms:created>
  <dc:creator>admin</dc:creator>
  <cp:lastModifiedBy>林振峰</cp:lastModifiedBy>
  <dcterms:modified xsi:type="dcterms:W3CDTF">2025-01-03T07:09:24Z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9C4CBCC6373948D98883105184848195_12</vt:lpwstr>
  </property>
</Properties>
</file>